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28AC" w:rsidRPr="00404038" w:rsidRDefault="008628AC" w:rsidP="00545290">
      <w:pPr>
        <w:spacing w:after="0" w:line="240" w:lineRule="auto"/>
        <w:jc w:val="center"/>
        <w:rPr>
          <w:rFonts w:ascii="Times New Roman" w:hAnsi="Times New Roman" w:cs="Times New Roman"/>
          <w:b/>
          <w:sz w:val="28"/>
          <w:szCs w:val="28"/>
        </w:rPr>
      </w:pPr>
      <w:r w:rsidRPr="00404038">
        <w:rPr>
          <w:rFonts w:ascii="Times New Roman" w:hAnsi="Times New Roman" w:cs="Times New Roman"/>
          <w:noProof/>
          <w:sz w:val="28"/>
          <w:szCs w:val="28"/>
          <w:lang w:eastAsia="uk-UA"/>
        </w:rPr>
        <w:drawing>
          <wp:inline distT="0" distB="0" distL="114300" distR="114300" wp14:anchorId="12690CFF" wp14:editId="63244FA0">
            <wp:extent cx="544195" cy="71628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4195" cy="716280"/>
                    </a:xfrm>
                    <a:prstGeom prst="rect">
                      <a:avLst/>
                    </a:prstGeom>
                    <a:ln/>
                  </pic:spPr>
                </pic:pic>
              </a:graphicData>
            </a:graphic>
          </wp:inline>
        </w:drawing>
      </w:r>
    </w:p>
    <w:p w:rsidR="008628AC" w:rsidRPr="00404038" w:rsidRDefault="008628AC" w:rsidP="00BC0D91">
      <w:pPr>
        <w:spacing w:after="0" w:line="240" w:lineRule="auto"/>
        <w:jc w:val="center"/>
        <w:rPr>
          <w:rFonts w:ascii="Times New Roman" w:hAnsi="Times New Roman" w:cs="Times New Roman"/>
          <w:sz w:val="28"/>
          <w:szCs w:val="28"/>
        </w:rPr>
      </w:pPr>
      <w:r w:rsidRPr="00404038">
        <w:rPr>
          <w:rFonts w:ascii="Times New Roman" w:hAnsi="Times New Roman" w:cs="Times New Roman"/>
          <w:sz w:val="36"/>
          <w:szCs w:val="28"/>
        </w:rPr>
        <w:t>ВИЩА КВАЛІФІКАЦІЙНА КОМІСІЯ СУДДІВ УКРАЇНИ</w:t>
      </w:r>
    </w:p>
    <w:p w:rsidR="008628AC" w:rsidRPr="00404038" w:rsidRDefault="008628AC" w:rsidP="00BC0D91">
      <w:pPr>
        <w:spacing w:after="0" w:line="240" w:lineRule="auto"/>
        <w:rPr>
          <w:rFonts w:ascii="Times New Roman" w:hAnsi="Times New Roman" w:cs="Times New Roman"/>
          <w:sz w:val="28"/>
          <w:szCs w:val="28"/>
        </w:rPr>
      </w:pPr>
    </w:p>
    <w:p w:rsidR="008628AC" w:rsidRPr="00404038" w:rsidRDefault="00502328" w:rsidP="00BC0D91">
      <w:pPr>
        <w:spacing w:after="0" w:line="240" w:lineRule="auto"/>
        <w:rPr>
          <w:rFonts w:ascii="Times New Roman" w:hAnsi="Times New Roman" w:cs="Times New Roman"/>
          <w:sz w:val="28"/>
          <w:szCs w:val="28"/>
        </w:rPr>
      </w:pPr>
      <w:r w:rsidRPr="00404038">
        <w:rPr>
          <w:rFonts w:ascii="Times New Roman" w:hAnsi="Times New Roman" w:cs="Times New Roman"/>
          <w:sz w:val="28"/>
          <w:szCs w:val="28"/>
        </w:rPr>
        <w:t>22</w:t>
      </w:r>
      <w:r w:rsidR="008628AC" w:rsidRPr="00404038">
        <w:rPr>
          <w:rFonts w:ascii="Times New Roman" w:hAnsi="Times New Roman" w:cs="Times New Roman"/>
          <w:sz w:val="28"/>
          <w:szCs w:val="28"/>
        </w:rPr>
        <w:t xml:space="preserve"> жовтня 202</w:t>
      </w:r>
      <w:r w:rsidRPr="00404038">
        <w:rPr>
          <w:rFonts w:ascii="Times New Roman" w:hAnsi="Times New Roman" w:cs="Times New Roman"/>
          <w:sz w:val="28"/>
          <w:szCs w:val="28"/>
        </w:rPr>
        <w:t>6</w:t>
      </w:r>
      <w:r w:rsidR="008628AC" w:rsidRPr="00404038">
        <w:rPr>
          <w:rFonts w:ascii="Times New Roman" w:hAnsi="Times New Roman" w:cs="Times New Roman"/>
          <w:sz w:val="28"/>
          <w:szCs w:val="28"/>
        </w:rPr>
        <w:t xml:space="preserve"> року </w:t>
      </w:r>
      <w:r w:rsidR="008628AC" w:rsidRPr="00404038">
        <w:rPr>
          <w:rFonts w:ascii="Times New Roman" w:hAnsi="Times New Roman" w:cs="Times New Roman"/>
          <w:sz w:val="28"/>
          <w:szCs w:val="28"/>
        </w:rPr>
        <w:tab/>
      </w:r>
      <w:r w:rsidR="008628AC" w:rsidRPr="00404038">
        <w:rPr>
          <w:rFonts w:ascii="Times New Roman" w:hAnsi="Times New Roman" w:cs="Times New Roman"/>
          <w:sz w:val="28"/>
          <w:szCs w:val="28"/>
        </w:rPr>
        <w:tab/>
      </w:r>
      <w:r w:rsidR="008628AC" w:rsidRPr="00404038">
        <w:rPr>
          <w:rFonts w:ascii="Times New Roman" w:hAnsi="Times New Roman" w:cs="Times New Roman"/>
          <w:sz w:val="28"/>
          <w:szCs w:val="28"/>
        </w:rPr>
        <w:tab/>
      </w:r>
      <w:r w:rsidR="008628AC" w:rsidRPr="00404038">
        <w:rPr>
          <w:rFonts w:ascii="Times New Roman" w:hAnsi="Times New Roman" w:cs="Times New Roman"/>
          <w:sz w:val="28"/>
          <w:szCs w:val="28"/>
        </w:rPr>
        <w:tab/>
      </w:r>
      <w:r w:rsidR="008628AC" w:rsidRPr="00404038">
        <w:rPr>
          <w:rFonts w:ascii="Times New Roman" w:hAnsi="Times New Roman" w:cs="Times New Roman"/>
          <w:sz w:val="28"/>
          <w:szCs w:val="28"/>
        </w:rPr>
        <w:tab/>
      </w:r>
      <w:r w:rsidR="008628AC" w:rsidRPr="00404038">
        <w:rPr>
          <w:rFonts w:ascii="Times New Roman" w:hAnsi="Times New Roman" w:cs="Times New Roman"/>
          <w:sz w:val="28"/>
          <w:szCs w:val="28"/>
        </w:rPr>
        <w:tab/>
      </w:r>
      <w:r w:rsidR="008628AC" w:rsidRPr="00404038">
        <w:rPr>
          <w:rFonts w:ascii="Times New Roman" w:hAnsi="Times New Roman" w:cs="Times New Roman"/>
          <w:sz w:val="28"/>
          <w:szCs w:val="28"/>
        </w:rPr>
        <w:tab/>
      </w:r>
      <w:r w:rsidR="008628AC" w:rsidRPr="00404038">
        <w:rPr>
          <w:rFonts w:ascii="Times New Roman" w:hAnsi="Times New Roman" w:cs="Times New Roman"/>
          <w:sz w:val="28"/>
          <w:szCs w:val="28"/>
        </w:rPr>
        <w:tab/>
      </w:r>
      <w:r w:rsidR="008628AC" w:rsidRPr="00404038">
        <w:rPr>
          <w:rFonts w:ascii="Times New Roman" w:hAnsi="Times New Roman" w:cs="Times New Roman"/>
          <w:sz w:val="28"/>
          <w:szCs w:val="28"/>
        </w:rPr>
        <w:tab/>
        <w:t xml:space="preserve">   м. Київ</w:t>
      </w:r>
    </w:p>
    <w:p w:rsidR="008628AC" w:rsidRPr="00404038" w:rsidRDefault="008628AC" w:rsidP="00BC0D91">
      <w:pPr>
        <w:spacing w:after="0" w:line="240" w:lineRule="auto"/>
        <w:rPr>
          <w:rFonts w:ascii="Times New Roman" w:hAnsi="Times New Roman" w:cs="Times New Roman"/>
          <w:sz w:val="28"/>
          <w:szCs w:val="28"/>
        </w:rPr>
      </w:pPr>
    </w:p>
    <w:p w:rsidR="00D36CDD" w:rsidRPr="008E38E8" w:rsidRDefault="00A172A0" w:rsidP="00BC0D91">
      <w:pPr>
        <w:spacing w:after="0" w:line="240" w:lineRule="auto"/>
        <w:jc w:val="center"/>
        <w:rPr>
          <w:rFonts w:ascii="Times New Roman" w:hAnsi="Times New Roman" w:cs="Times New Roman"/>
          <w:sz w:val="28"/>
          <w:szCs w:val="28"/>
          <w:u w:val="single"/>
        </w:rPr>
      </w:pPr>
      <w:r w:rsidRPr="00404038">
        <w:rPr>
          <w:rFonts w:ascii="Times New Roman" w:hAnsi="Times New Roman" w:cs="Times New Roman"/>
          <w:sz w:val="28"/>
          <w:szCs w:val="28"/>
        </w:rPr>
        <w:t xml:space="preserve">Р І Ш Е Н </w:t>
      </w:r>
      <w:proofErr w:type="spellStart"/>
      <w:r w:rsidRPr="00404038">
        <w:rPr>
          <w:rFonts w:ascii="Times New Roman" w:hAnsi="Times New Roman" w:cs="Times New Roman"/>
          <w:sz w:val="28"/>
          <w:szCs w:val="28"/>
        </w:rPr>
        <w:t>Н</w:t>
      </w:r>
      <w:proofErr w:type="spellEnd"/>
      <w:r w:rsidRPr="00404038">
        <w:rPr>
          <w:rFonts w:ascii="Times New Roman" w:hAnsi="Times New Roman" w:cs="Times New Roman"/>
          <w:sz w:val="28"/>
          <w:szCs w:val="28"/>
        </w:rPr>
        <w:t xml:space="preserve"> Я № </w:t>
      </w:r>
      <w:r w:rsidR="008E38E8">
        <w:rPr>
          <w:rFonts w:ascii="Times New Roman" w:hAnsi="Times New Roman" w:cs="Times New Roman"/>
          <w:sz w:val="28"/>
          <w:szCs w:val="28"/>
          <w:u w:val="single"/>
        </w:rPr>
        <w:t>35/пд-26</w:t>
      </w:r>
    </w:p>
    <w:p w:rsidR="00A172A0" w:rsidRPr="00404038" w:rsidRDefault="00A172A0" w:rsidP="00BC0D91">
      <w:pPr>
        <w:spacing w:after="0" w:line="240" w:lineRule="auto"/>
        <w:jc w:val="center"/>
        <w:rPr>
          <w:rFonts w:ascii="Times New Roman" w:hAnsi="Times New Roman" w:cs="Times New Roman"/>
          <w:sz w:val="28"/>
          <w:szCs w:val="28"/>
        </w:rPr>
      </w:pPr>
    </w:p>
    <w:p w:rsidR="00A172A0" w:rsidRPr="00404038" w:rsidRDefault="00A172A0" w:rsidP="00BC0D91">
      <w:pPr>
        <w:spacing w:after="0" w:line="240" w:lineRule="auto"/>
        <w:jc w:val="both"/>
        <w:rPr>
          <w:rFonts w:ascii="Times New Roman" w:hAnsi="Times New Roman" w:cs="Times New Roman"/>
          <w:sz w:val="28"/>
          <w:szCs w:val="28"/>
        </w:rPr>
      </w:pPr>
      <w:r w:rsidRPr="00404038">
        <w:rPr>
          <w:rFonts w:ascii="Times New Roman" w:hAnsi="Times New Roman" w:cs="Times New Roman"/>
          <w:sz w:val="28"/>
          <w:szCs w:val="28"/>
        </w:rPr>
        <w:t>Вища кваліфікаційна комісія суддів України</w:t>
      </w:r>
      <w:r w:rsidR="00C67966" w:rsidRPr="008E38E8">
        <w:rPr>
          <w:rFonts w:ascii="Times New Roman" w:hAnsi="Times New Roman" w:cs="Times New Roman"/>
          <w:sz w:val="28"/>
          <w:szCs w:val="28"/>
        </w:rPr>
        <w:t xml:space="preserve"> </w:t>
      </w:r>
      <w:r w:rsidR="00C67966" w:rsidRPr="00404038">
        <w:rPr>
          <w:rFonts w:ascii="Times New Roman" w:hAnsi="Times New Roman" w:cs="Times New Roman"/>
          <w:sz w:val="28"/>
          <w:szCs w:val="28"/>
        </w:rPr>
        <w:t>у</w:t>
      </w:r>
      <w:r w:rsidRPr="00404038">
        <w:rPr>
          <w:rFonts w:ascii="Times New Roman" w:hAnsi="Times New Roman" w:cs="Times New Roman"/>
          <w:sz w:val="28"/>
          <w:szCs w:val="28"/>
        </w:rPr>
        <w:t xml:space="preserve"> </w:t>
      </w:r>
      <w:r w:rsidR="00D7119E" w:rsidRPr="00404038">
        <w:rPr>
          <w:rFonts w:ascii="Times New Roman" w:hAnsi="Times New Roman" w:cs="Times New Roman"/>
          <w:sz w:val="28"/>
          <w:szCs w:val="28"/>
        </w:rPr>
        <w:t>складі колегії № 2</w:t>
      </w:r>
      <w:r w:rsidRPr="00404038">
        <w:rPr>
          <w:rFonts w:ascii="Times New Roman" w:hAnsi="Times New Roman" w:cs="Times New Roman"/>
          <w:sz w:val="28"/>
          <w:szCs w:val="28"/>
        </w:rPr>
        <w:t>:</w:t>
      </w:r>
    </w:p>
    <w:p w:rsidR="00A172A0" w:rsidRPr="00404038" w:rsidRDefault="00A172A0" w:rsidP="00BC0D91">
      <w:pPr>
        <w:spacing w:after="0" w:line="240" w:lineRule="auto"/>
        <w:jc w:val="both"/>
        <w:rPr>
          <w:rFonts w:ascii="Times New Roman" w:hAnsi="Times New Roman" w:cs="Times New Roman"/>
          <w:sz w:val="28"/>
          <w:szCs w:val="28"/>
        </w:rPr>
      </w:pPr>
    </w:p>
    <w:p w:rsidR="00A172A0" w:rsidRPr="00404038" w:rsidRDefault="00A172A0" w:rsidP="00BC0D91">
      <w:pPr>
        <w:spacing w:after="0" w:line="240" w:lineRule="auto"/>
        <w:jc w:val="both"/>
        <w:rPr>
          <w:rFonts w:ascii="Times New Roman" w:hAnsi="Times New Roman" w:cs="Times New Roman"/>
          <w:sz w:val="28"/>
          <w:szCs w:val="28"/>
        </w:rPr>
      </w:pPr>
      <w:r w:rsidRPr="00404038">
        <w:rPr>
          <w:rFonts w:ascii="Times New Roman" w:hAnsi="Times New Roman" w:cs="Times New Roman"/>
          <w:sz w:val="28"/>
          <w:szCs w:val="28"/>
        </w:rPr>
        <w:t xml:space="preserve">головуючого – </w:t>
      </w:r>
      <w:r w:rsidR="00D7119E" w:rsidRPr="00404038">
        <w:rPr>
          <w:rFonts w:ascii="Times New Roman" w:hAnsi="Times New Roman" w:cs="Times New Roman"/>
          <w:sz w:val="28"/>
          <w:szCs w:val="28"/>
        </w:rPr>
        <w:t>Руслана СИДОРОВИЧА</w:t>
      </w:r>
      <w:r w:rsidR="00103A00">
        <w:rPr>
          <w:rFonts w:ascii="Times New Roman" w:hAnsi="Times New Roman" w:cs="Times New Roman"/>
          <w:sz w:val="28"/>
          <w:szCs w:val="28"/>
        </w:rPr>
        <w:t xml:space="preserve"> (доповідач)</w:t>
      </w:r>
      <w:r w:rsidRPr="00404038">
        <w:rPr>
          <w:rFonts w:ascii="Times New Roman" w:hAnsi="Times New Roman" w:cs="Times New Roman"/>
          <w:sz w:val="28"/>
          <w:szCs w:val="28"/>
        </w:rPr>
        <w:t>,</w:t>
      </w:r>
    </w:p>
    <w:p w:rsidR="00A172A0" w:rsidRPr="00404038" w:rsidRDefault="00A172A0" w:rsidP="00BC0D91">
      <w:pPr>
        <w:spacing w:after="0" w:line="240" w:lineRule="auto"/>
        <w:jc w:val="both"/>
        <w:rPr>
          <w:rFonts w:ascii="Times New Roman" w:hAnsi="Times New Roman" w:cs="Times New Roman"/>
          <w:sz w:val="28"/>
          <w:szCs w:val="28"/>
        </w:rPr>
      </w:pPr>
    </w:p>
    <w:p w:rsidR="00A172A0" w:rsidRPr="00404038" w:rsidRDefault="00A172A0" w:rsidP="00BC0D91">
      <w:pPr>
        <w:spacing w:after="0" w:line="240" w:lineRule="auto"/>
        <w:jc w:val="both"/>
        <w:rPr>
          <w:rFonts w:ascii="Times New Roman" w:hAnsi="Times New Roman" w:cs="Times New Roman"/>
          <w:sz w:val="28"/>
          <w:szCs w:val="28"/>
        </w:rPr>
      </w:pPr>
      <w:r w:rsidRPr="00404038">
        <w:rPr>
          <w:rFonts w:ascii="Times New Roman" w:hAnsi="Times New Roman" w:cs="Times New Roman"/>
          <w:sz w:val="28"/>
          <w:szCs w:val="28"/>
        </w:rPr>
        <w:t xml:space="preserve">членів Комісії: </w:t>
      </w:r>
      <w:r w:rsidR="00D7119E" w:rsidRPr="00404038">
        <w:rPr>
          <w:rFonts w:ascii="Times New Roman" w:hAnsi="Times New Roman" w:cs="Times New Roman"/>
          <w:sz w:val="28"/>
          <w:szCs w:val="28"/>
        </w:rPr>
        <w:t xml:space="preserve">Людмили ВОЛКОВОЇ, </w:t>
      </w:r>
      <w:r w:rsidRPr="00404038">
        <w:rPr>
          <w:rFonts w:ascii="Times New Roman" w:hAnsi="Times New Roman" w:cs="Times New Roman"/>
          <w:sz w:val="28"/>
          <w:szCs w:val="28"/>
        </w:rPr>
        <w:t>Романа КИДИСЮКА,</w:t>
      </w:r>
    </w:p>
    <w:p w:rsidR="00A172A0" w:rsidRPr="00103A00" w:rsidRDefault="00A172A0" w:rsidP="00BC0D91">
      <w:pPr>
        <w:spacing w:after="0" w:line="240" w:lineRule="auto"/>
        <w:jc w:val="both"/>
        <w:rPr>
          <w:rFonts w:ascii="Times New Roman" w:hAnsi="Times New Roman" w:cs="Times New Roman"/>
          <w:sz w:val="28"/>
          <w:szCs w:val="28"/>
          <w:lang w:val="ru-RU"/>
        </w:rPr>
      </w:pPr>
    </w:p>
    <w:p w:rsidR="00A172A0" w:rsidRPr="00404038" w:rsidRDefault="00502328" w:rsidP="00BC0D91">
      <w:pPr>
        <w:spacing w:after="0" w:line="240" w:lineRule="auto"/>
        <w:jc w:val="both"/>
        <w:rPr>
          <w:rFonts w:ascii="Times New Roman" w:hAnsi="Times New Roman" w:cs="Times New Roman"/>
          <w:sz w:val="28"/>
          <w:szCs w:val="28"/>
        </w:rPr>
      </w:pPr>
      <w:r w:rsidRPr="00404038">
        <w:rPr>
          <w:rFonts w:ascii="Times New Roman" w:hAnsi="Times New Roman" w:cs="Times New Roman"/>
          <w:sz w:val="28"/>
          <w:szCs w:val="28"/>
        </w:rPr>
        <w:t xml:space="preserve">розглянувши питання про проведення або відмову в проведенні перевірки декларації доброчесності судді та декларації родинних зв’язків судді Івано-Франківського апеляційного суду </w:t>
      </w:r>
      <w:proofErr w:type="spellStart"/>
      <w:r w:rsidRPr="00404038">
        <w:rPr>
          <w:rFonts w:ascii="Times New Roman" w:hAnsi="Times New Roman" w:cs="Times New Roman"/>
          <w:sz w:val="28"/>
          <w:szCs w:val="28"/>
        </w:rPr>
        <w:t>Малєєва</w:t>
      </w:r>
      <w:proofErr w:type="spellEnd"/>
      <w:r w:rsidRPr="00404038">
        <w:rPr>
          <w:rFonts w:ascii="Times New Roman" w:hAnsi="Times New Roman" w:cs="Times New Roman"/>
          <w:sz w:val="28"/>
          <w:szCs w:val="28"/>
        </w:rPr>
        <w:t xml:space="preserve"> Андрія Юрійовича за повідомленням громадської організації «СТОПКОР»,</w:t>
      </w:r>
    </w:p>
    <w:p w:rsidR="00A172A0" w:rsidRPr="00404038" w:rsidRDefault="00A172A0" w:rsidP="00BC0D91">
      <w:pPr>
        <w:spacing w:after="0" w:line="240" w:lineRule="auto"/>
        <w:jc w:val="both"/>
        <w:rPr>
          <w:rFonts w:ascii="Times New Roman" w:hAnsi="Times New Roman" w:cs="Times New Roman"/>
          <w:sz w:val="28"/>
          <w:szCs w:val="28"/>
        </w:rPr>
      </w:pPr>
    </w:p>
    <w:p w:rsidR="00A172A0" w:rsidRPr="00404038" w:rsidRDefault="00A172A0" w:rsidP="00BC0D91">
      <w:pPr>
        <w:spacing w:after="0" w:line="240" w:lineRule="auto"/>
        <w:jc w:val="center"/>
        <w:rPr>
          <w:rFonts w:ascii="Times New Roman" w:hAnsi="Times New Roman" w:cs="Times New Roman"/>
          <w:sz w:val="28"/>
          <w:szCs w:val="28"/>
        </w:rPr>
      </w:pPr>
      <w:r w:rsidRPr="00404038">
        <w:rPr>
          <w:rFonts w:ascii="Times New Roman" w:hAnsi="Times New Roman" w:cs="Times New Roman"/>
          <w:sz w:val="28"/>
          <w:szCs w:val="28"/>
        </w:rPr>
        <w:t>встановила:</w:t>
      </w:r>
    </w:p>
    <w:p w:rsidR="00A172A0" w:rsidRPr="00404038" w:rsidRDefault="00A172A0" w:rsidP="00BC0D91">
      <w:pPr>
        <w:spacing w:after="0" w:line="240" w:lineRule="auto"/>
        <w:jc w:val="center"/>
        <w:rPr>
          <w:rFonts w:ascii="Times New Roman" w:hAnsi="Times New Roman" w:cs="Times New Roman"/>
          <w:sz w:val="28"/>
          <w:szCs w:val="28"/>
        </w:rPr>
      </w:pPr>
    </w:p>
    <w:p w:rsidR="00A620DA" w:rsidRPr="00A620DA" w:rsidRDefault="00A620DA" w:rsidP="00EB55A8">
      <w:pPr>
        <w:numPr>
          <w:ilvl w:val="0"/>
          <w:numId w:val="10"/>
        </w:numPr>
        <w:tabs>
          <w:tab w:val="clear" w:pos="720"/>
          <w:tab w:val="num" w:pos="993"/>
        </w:tabs>
        <w:spacing w:after="0" w:line="240" w:lineRule="auto"/>
        <w:ind w:left="0" w:firstLine="709"/>
        <w:jc w:val="both"/>
        <w:textAlignment w:val="baseline"/>
        <w:rPr>
          <w:rFonts w:ascii="Times New Roman" w:eastAsia="Times New Roman" w:hAnsi="Times New Roman" w:cs="Times New Roman"/>
          <w:b/>
          <w:bCs/>
          <w:color w:val="000000"/>
          <w:sz w:val="28"/>
          <w:szCs w:val="28"/>
          <w:lang w:eastAsia="uk-UA"/>
        </w:rPr>
      </w:pPr>
      <w:r w:rsidRPr="00A620DA">
        <w:rPr>
          <w:rFonts w:ascii="Times New Roman" w:eastAsia="Times New Roman" w:hAnsi="Times New Roman" w:cs="Times New Roman"/>
          <w:b/>
          <w:bCs/>
          <w:color w:val="000000"/>
          <w:sz w:val="28"/>
          <w:szCs w:val="28"/>
          <w:lang w:eastAsia="uk-UA"/>
        </w:rPr>
        <w:t>Стислий виклад інформації про повідомлення</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 xml:space="preserve">До Вищої кваліфікаційної комісії суддів України 23 вересня 2026 року надійшло повідомлення громадської організації «СТОПКОР» щодо інформації, яка може свідчити про недостовірність, зокрема неповноту, відомостей, указаних суддею Івано-Франківського апеляційного суду </w:t>
      </w:r>
      <w:proofErr w:type="spellStart"/>
      <w:r w:rsidRPr="00A620DA">
        <w:rPr>
          <w:rFonts w:ascii="Times New Roman" w:eastAsia="Times New Roman" w:hAnsi="Times New Roman" w:cs="Times New Roman"/>
          <w:color w:val="000000"/>
          <w:sz w:val="28"/>
          <w:szCs w:val="28"/>
          <w:lang w:eastAsia="uk-UA"/>
        </w:rPr>
        <w:t>Малєєвим</w:t>
      </w:r>
      <w:proofErr w:type="spellEnd"/>
      <w:r w:rsidRPr="00A620DA">
        <w:rPr>
          <w:rFonts w:ascii="Times New Roman" w:eastAsia="Times New Roman" w:hAnsi="Times New Roman" w:cs="Times New Roman"/>
          <w:color w:val="000000"/>
          <w:sz w:val="28"/>
          <w:szCs w:val="28"/>
          <w:lang w:eastAsia="uk-UA"/>
        </w:rPr>
        <w:t xml:space="preserve"> Андрієм Юрійовичем у декларації родинних зв’язків судді та декларації доброчесності судді (далі — Повідомлення ГО «СТОПКОР»).</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 xml:space="preserve">У Повідомленні ГО «СТОПКОР» заявник просить провести повну перевірку декларацій двох видів: декларації родинних зв’язків судді та декларації доброчесності судді Івано-Франківського апеляційного суду </w:t>
      </w:r>
      <w:proofErr w:type="spellStart"/>
      <w:r w:rsidRPr="00A620DA">
        <w:rPr>
          <w:rFonts w:ascii="Times New Roman" w:eastAsia="Times New Roman" w:hAnsi="Times New Roman" w:cs="Times New Roman"/>
          <w:color w:val="000000"/>
          <w:sz w:val="28"/>
          <w:szCs w:val="28"/>
          <w:lang w:eastAsia="uk-UA"/>
        </w:rPr>
        <w:t>Малєєва</w:t>
      </w:r>
      <w:proofErr w:type="spellEnd"/>
      <w:r w:rsidRPr="00A620DA">
        <w:rPr>
          <w:rFonts w:ascii="Times New Roman" w:eastAsia="Times New Roman" w:hAnsi="Times New Roman" w:cs="Times New Roman"/>
          <w:color w:val="000000"/>
          <w:sz w:val="28"/>
          <w:szCs w:val="28"/>
          <w:lang w:eastAsia="uk-UA"/>
        </w:rPr>
        <w:t xml:space="preserve"> А.Ю. на предмет достовірності та повноти внесених до них відомостей. Підставою для Повідомлення ГО «СТОПКОР» стала інформація, яка відома заявнику, зокрема про майновий стан членів сім’ї та близьких родичів судді </w:t>
      </w:r>
      <w:proofErr w:type="spellStart"/>
      <w:r w:rsidRPr="00A620DA">
        <w:rPr>
          <w:rFonts w:ascii="Times New Roman" w:eastAsia="Times New Roman" w:hAnsi="Times New Roman" w:cs="Times New Roman"/>
          <w:color w:val="000000"/>
          <w:sz w:val="28"/>
          <w:szCs w:val="28"/>
          <w:lang w:eastAsia="uk-UA"/>
        </w:rPr>
        <w:t>Малєєва</w:t>
      </w:r>
      <w:proofErr w:type="spellEnd"/>
      <w:r w:rsidRPr="00A620DA">
        <w:rPr>
          <w:rFonts w:ascii="Times New Roman" w:eastAsia="Times New Roman" w:hAnsi="Times New Roman" w:cs="Times New Roman"/>
          <w:color w:val="000000"/>
          <w:sz w:val="28"/>
          <w:szCs w:val="28"/>
          <w:lang w:eastAsia="uk-UA"/>
        </w:rPr>
        <w:t xml:space="preserve"> А.Ю. </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Відповідно до протоколу автоматизованого розподілу справи між членами Комісії від 25 вересня 2026 року доповідачем за Повідомленням ГО «СТОПКОР» визначено члена Комісії Сидоровича Р.М.</w:t>
      </w:r>
    </w:p>
    <w:p w:rsidR="00A620DA" w:rsidRDefault="00A620DA" w:rsidP="008E38E8">
      <w:pPr>
        <w:tabs>
          <w:tab w:val="num" w:pos="993"/>
        </w:tabs>
        <w:spacing w:after="0" w:line="240" w:lineRule="auto"/>
        <w:rPr>
          <w:rFonts w:ascii="Times New Roman" w:eastAsia="Times New Roman" w:hAnsi="Times New Roman" w:cs="Times New Roman"/>
          <w:sz w:val="24"/>
          <w:szCs w:val="24"/>
          <w:lang w:eastAsia="uk-UA"/>
        </w:rPr>
      </w:pPr>
    </w:p>
    <w:p w:rsidR="008E38E8" w:rsidRPr="00A620DA" w:rsidRDefault="008E38E8" w:rsidP="008E38E8">
      <w:pPr>
        <w:tabs>
          <w:tab w:val="num" w:pos="993"/>
        </w:tabs>
        <w:spacing w:after="0" w:line="240" w:lineRule="auto"/>
        <w:rPr>
          <w:rFonts w:ascii="Times New Roman" w:eastAsia="Times New Roman" w:hAnsi="Times New Roman" w:cs="Times New Roman"/>
          <w:sz w:val="24"/>
          <w:szCs w:val="24"/>
          <w:lang w:eastAsia="uk-UA"/>
        </w:rPr>
      </w:pPr>
    </w:p>
    <w:p w:rsidR="00A620DA" w:rsidRPr="00A620DA" w:rsidRDefault="00A620DA" w:rsidP="00EB55A8">
      <w:pPr>
        <w:numPr>
          <w:ilvl w:val="0"/>
          <w:numId w:val="11"/>
        </w:numPr>
        <w:tabs>
          <w:tab w:val="num" w:pos="993"/>
        </w:tabs>
        <w:spacing w:after="0" w:line="240" w:lineRule="auto"/>
        <w:ind w:firstLine="709"/>
        <w:jc w:val="both"/>
        <w:textAlignment w:val="baseline"/>
        <w:rPr>
          <w:rFonts w:ascii="Times New Roman" w:eastAsia="Times New Roman" w:hAnsi="Times New Roman" w:cs="Times New Roman"/>
          <w:b/>
          <w:bCs/>
          <w:color w:val="000000"/>
          <w:sz w:val="28"/>
          <w:szCs w:val="28"/>
          <w:lang w:eastAsia="uk-UA"/>
        </w:rPr>
      </w:pPr>
      <w:r w:rsidRPr="00A620DA">
        <w:rPr>
          <w:rFonts w:ascii="Times New Roman" w:eastAsia="Times New Roman" w:hAnsi="Times New Roman" w:cs="Times New Roman"/>
          <w:b/>
          <w:bCs/>
          <w:color w:val="000000"/>
          <w:sz w:val="28"/>
          <w:szCs w:val="28"/>
          <w:lang w:eastAsia="uk-UA"/>
        </w:rPr>
        <w:t>Джерела права та їх застосування</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 xml:space="preserve">Відповідно до абзацу 1 частини першої статті 61 Закону України «Про судоустрій і статус суддів» (далі — Закон) суддя зобов’язаний щороку, до </w:t>
      </w:r>
      <w:r w:rsidRPr="00A620DA">
        <w:rPr>
          <w:rFonts w:ascii="Times New Roman" w:eastAsia="Times New Roman" w:hAnsi="Times New Roman" w:cs="Times New Roman"/>
          <w:color w:val="000000"/>
          <w:sz w:val="28"/>
          <w:szCs w:val="28"/>
          <w:lang w:eastAsia="uk-UA"/>
        </w:rPr>
        <w:lastRenderedPageBreak/>
        <w:t>01 травня, подавати декларацію доброчесності та родинних зв’язків судді (далі</w:t>
      </w:r>
      <w:r w:rsidR="00531C21">
        <w:rPr>
          <w:rFonts w:ascii="Times New Roman" w:eastAsia="Times New Roman" w:hAnsi="Times New Roman" w:cs="Times New Roman"/>
          <w:color w:val="000000"/>
          <w:sz w:val="28"/>
          <w:szCs w:val="28"/>
          <w:lang w:val="en-US" w:eastAsia="uk-UA"/>
        </w:rPr>
        <w:t> </w:t>
      </w:r>
      <w:r w:rsidRPr="00A620DA">
        <w:rPr>
          <w:rFonts w:ascii="Times New Roman" w:eastAsia="Times New Roman" w:hAnsi="Times New Roman" w:cs="Times New Roman"/>
          <w:color w:val="000000"/>
          <w:sz w:val="28"/>
          <w:szCs w:val="28"/>
          <w:lang w:eastAsia="uk-UA"/>
        </w:rPr>
        <w:t>— Декларація) за формою, яку визначає Комісія.</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Згідно з частиною другою статті 62 Закону Комісія проводить перевірку  Декларації в порядку, встановленому Регламентом Вищої кваліфікаційної комісії суддів України (далі — Регламент).</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25 червня 2026 року набув чинності Закон України «Про внесення змін до Закону України «Про судоустрій і статус суддів» та Закону України «Про Вищу раду правосуддя» щодо вдосконалення декларацій доброчесності судді та родинних зв’язків судді» (далі — Закон № 4905-ІХ). Цим законом внесено зміни до порядку декларування суддями відомостей щодо доброчесності та родинних зв’язків. Зокрема, замість двох окремих декларацій (декларації родинних зв’язків судді та декларації доброчесності судді) запроваджено обов’язок судді подавати одну Декларацію.</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Пункт 43</w:t>
      </w:r>
      <w:r w:rsidRPr="00A620DA">
        <w:rPr>
          <w:rFonts w:ascii="Times New Roman" w:eastAsia="Times New Roman" w:hAnsi="Times New Roman" w:cs="Times New Roman"/>
          <w:color w:val="000000"/>
          <w:sz w:val="17"/>
          <w:szCs w:val="17"/>
          <w:vertAlign w:val="superscript"/>
          <w:lang w:eastAsia="uk-UA"/>
        </w:rPr>
        <w:t>1</w:t>
      </w:r>
      <w:r w:rsidRPr="00A620DA">
        <w:rPr>
          <w:rFonts w:ascii="Times New Roman" w:eastAsia="Times New Roman" w:hAnsi="Times New Roman" w:cs="Times New Roman"/>
          <w:color w:val="000000"/>
          <w:sz w:val="28"/>
          <w:szCs w:val="28"/>
          <w:lang w:eastAsia="uk-UA"/>
        </w:rPr>
        <w:t xml:space="preserve"> Прикінцевих і перехідних положень Закону встановлює, що після набрання чинності Законом № 4905-ІХ Комісія проводить перевірку декларації родинних зв’язків судді та декларації доброчесності судді за правилами, що діють після набрання чинності Законом № 4905-ІХ. Тобто перевірка декларацій родинних зв’язків судді та декларацій доброчесності судді відбувається за правилами перевірки Декларації.</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Перевірка відбувається в межах інформації, визначеної пунктом 1 частини першої та абзацом 1 частини другої статті 62 Закону, тобто в межах інформації, яку надав заявник у повідомленні про можливе неподання або несвоєчасне подання Декларації або про можливу недостовірність, зокрема неповноту відомостей або тверджень, зазначених у Декларації (далі — Повідомлення). Відповідно до пункту 174 Регламенту Повідомлення може стосуватись лише одного судді та окремої Декларації. </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Згідно з абзацом 2 частини другої статті 62 Закону Комісія може розпочати перевірку Декларації на предмет недостовірності, зокрема неповноти, зазначених у ній відомостей або тверджень не пізніше трьох років з дня подання такої декларації. </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Відповідно до пункту 172 Регламенту Повідомлення може подати до Комісії будь-яка особа. Повідомлення має містити, зокрема, назву Декларації, щодо якої заявник подає повідомлення, а також</w:t>
      </w:r>
      <w:bookmarkStart w:id="0" w:name="_GoBack"/>
      <w:bookmarkEnd w:id="0"/>
      <w:r w:rsidRPr="00A620DA">
        <w:rPr>
          <w:rFonts w:ascii="Times New Roman" w:eastAsia="Times New Roman" w:hAnsi="Times New Roman" w:cs="Times New Roman"/>
          <w:color w:val="000000"/>
          <w:sz w:val="28"/>
          <w:szCs w:val="28"/>
          <w:lang w:eastAsia="uk-UA"/>
        </w:rPr>
        <w:t xml:space="preserve"> конкретну інформацію, яка підтверджує недостовірність, зокрема неповноту, відомостей або тверджень у відповідній Декларації та може бути перевірена (підпункти 173.3 та 173.5 пункту 173 Регламенту).</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Згідно з пунктом 175 Регламенту попереднє вивчення Повідомлення проводить член Комісії, визначений за результатами розподілу підсистемою Єдиної судової інформаційно-телекомунікаційної системи. </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Відповідно до частини другої статті 61 Закону Декларація повинна містити, зокрема, такі відомості:</w:t>
      </w:r>
    </w:p>
    <w:p w:rsidR="00A620DA" w:rsidRPr="00A620DA" w:rsidRDefault="00A620DA" w:rsidP="00EB55A8">
      <w:pPr>
        <w:numPr>
          <w:ilvl w:val="0"/>
          <w:numId w:val="12"/>
        </w:numPr>
        <w:tabs>
          <w:tab w:val="clear" w:pos="720"/>
          <w:tab w:val="num" w:pos="993"/>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A620DA">
        <w:rPr>
          <w:rFonts w:ascii="Times New Roman" w:eastAsia="Times New Roman" w:hAnsi="Times New Roman" w:cs="Times New Roman"/>
          <w:color w:val="000000"/>
          <w:sz w:val="28"/>
          <w:szCs w:val="28"/>
          <w:lang w:eastAsia="uk-UA"/>
        </w:rPr>
        <w:t>прізвище, ім’я, по батькові осіб, з якими у судді є родинний зв’язок;</w:t>
      </w:r>
    </w:p>
    <w:p w:rsidR="00A620DA" w:rsidRPr="00A620DA" w:rsidRDefault="00A620DA" w:rsidP="00EB55A8">
      <w:pPr>
        <w:numPr>
          <w:ilvl w:val="0"/>
          <w:numId w:val="12"/>
        </w:numPr>
        <w:tabs>
          <w:tab w:val="clear" w:pos="720"/>
          <w:tab w:val="num" w:pos="993"/>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A620DA">
        <w:rPr>
          <w:rFonts w:ascii="Times New Roman" w:eastAsia="Times New Roman" w:hAnsi="Times New Roman" w:cs="Times New Roman"/>
          <w:color w:val="000000"/>
          <w:sz w:val="28"/>
          <w:szCs w:val="28"/>
          <w:lang w:eastAsia="uk-UA"/>
        </w:rPr>
        <w:lastRenderedPageBreak/>
        <w:t>місце роботи або проходження служби, займану посаду таких осіб, якщо вони протягом останніх п’яти років займали посади, визначені підпунктами «а»</w:t>
      </w:r>
      <w:r w:rsidR="00532F0F">
        <w:rPr>
          <w:rFonts w:ascii="Times New Roman" w:eastAsia="Times New Roman" w:hAnsi="Times New Roman" w:cs="Times New Roman"/>
          <w:color w:val="000000"/>
          <w:sz w:val="28"/>
          <w:szCs w:val="28"/>
          <w:lang w:eastAsia="uk-UA"/>
        </w:rPr>
        <w:t> –</w:t>
      </w:r>
      <w:r w:rsidR="00531C21">
        <w:rPr>
          <w:rFonts w:ascii="Times New Roman" w:eastAsia="Times New Roman" w:hAnsi="Times New Roman" w:cs="Times New Roman"/>
          <w:color w:val="000000"/>
          <w:sz w:val="28"/>
          <w:szCs w:val="28"/>
          <w:lang w:val="en-US" w:eastAsia="uk-UA"/>
        </w:rPr>
        <w:t> </w:t>
      </w:r>
      <w:r w:rsidRPr="00A620DA">
        <w:rPr>
          <w:rFonts w:ascii="Times New Roman" w:eastAsia="Times New Roman" w:hAnsi="Times New Roman" w:cs="Times New Roman"/>
          <w:color w:val="000000"/>
          <w:sz w:val="28"/>
          <w:szCs w:val="28"/>
          <w:lang w:eastAsia="uk-UA"/>
        </w:rPr>
        <w:t>«р» пункту 2 частини другої статті 61 Закону;</w:t>
      </w:r>
    </w:p>
    <w:p w:rsidR="00A620DA" w:rsidRPr="00A620DA" w:rsidRDefault="00A620DA" w:rsidP="00EB55A8">
      <w:pPr>
        <w:numPr>
          <w:ilvl w:val="0"/>
          <w:numId w:val="12"/>
        </w:numPr>
        <w:tabs>
          <w:tab w:val="clear" w:pos="720"/>
          <w:tab w:val="num" w:pos="993"/>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A620DA">
        <w:rPr>
          <w:rFonts w:ascii="Times New Roman" w:eastAsia="Times New Roman" w:hAnsi="Times New Roman" w:cs="Times New Roman"/>
          <w:color w:val="000000"/>
          <w:sz w:val="28"/>
          <w:szCs w:val="28"/>
          <w:lang w:eastAsia="uk-UA"/>
        </w:rPr>
        <w:t>твердження за останній рік, що передує року подання декларації, передбачені підпунктами «а»</w:t>
      </w:r>
      <w:r w:rsidR="00532F0F" w:rsidRPr="00532F0F">
        <w:rPr>
          <w:rFonts w:ascii="Times New Roman" w:eastAsia="Times New Roman" w:hAnsi="Times New Roman" w:cs="Times New Roman"/>
          <w:color w:val="000000"/>
          <w:sz w:val="28"/>
          <w:szCs w:val="28"/>
          <w:lang w:eastAsia="uk-UA"/>
        </w:rPr>
        <w:t xml:space="preserve"> </w:t>
      </w:r>
      <w:r w:rsidR="00532F0F">
        <w:rPr>
          <w:rFonts w:ascii="Times New Roman" w:eastAsia="Times New Roman" w:hAnsi="Times New Roman" w:cs="Times New Roman"/>
          <w:color w:val="000000"/>
          <w:sz w:val="28"/>
          <w:szCs w:val="28"/>
          <w:lang w:eastAsia="uk-UA"/>
        </w:rPr>
        <w:t>–</w:t>
      </w:r>
      <w:r w:rsidR="00532F0F" w:rsidRPr="00A620DA">
        <w:rPr>
          <w:rFonts w:ascii="Times New Roman" w:eastAsia="Times New Roman" w:hAnsi="Times New Roman" w:cs="Times New Roman"/>
          <w:color w:val="000000"/>
          <w:sz w:val="28"/>
          <w:szCs w:val="28"/>
          <w:lang w:eastAsia="uk-UA"/>
        </w:rPr>
        <w:t xml:space="preserve"> </w:t>
      </w:r>
      <w:r w:rsidRPr="00A620DA">
        <w:rPr>
          <w:rFonts w:ascii="Times New Roman" w:eastAsia="Times New Roman" w:hAnsi="Times New Roman" w:cs="Times New Roman"/>
          <w:color w:val="000000"/>
          <w:sz w:val="28"/>
          <w:szCs w:val="28"/>
          <w:lang w:eastAsia="uk-UA"/>
        </w:rPr>
        <w:t>«д» пункту 3 частини другої статті 61 Закону.</w:t>
      </w:r>
    </w:p>
    <w:p w:rsidR="00A620DA" w:rsidRPr="00A620DA" w:rsidRDefault="00531C21"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Аналогічні вимоги</w:t>
      </w:r>
      <w:r w:rsidR="00A620DA" w:rsidRPr="00A620DA">
        <w:rPr>
          <w:rFonts w:ascii="Times New Roman" w:eastAsia="Times New Roman" w:hAnsi="Times New Roman" w:cs="Times New Roman"/>
          <w:color w:val="000000"/>
          <w:sz w:val="28"/>
          <w:szCs w:val="28"/>
          <w:lang w:eastAsia="uk-UA"/>
        </w:rPr>
        <w:t xml:space="preserve"> висувались до змісту декларації родинних зв’язків судді та декларації доброчесності судді відповідно до статей 61 та 62 Закону в редакції до ухвалення Закону № 4905-ІХ.</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 xml:space="preserve">Згідно з частиною третьою статті 61 Закону </w:t>
      </w:r>
      <w:r w:rsidR="00531C21">
        <w:rPr>
          <w:rFonts w:ascii="Times New Roman" w:eastAsia="Times New Roman" w:hAnsi="Times New Roman" w:cs="Times New Roman"/>
          <w:color w:val="000000"/>
          <w:sz w:val="28"/>
          <w:szCs w:val="28"/>
          <w:lang w:eastAsia="uk-UA"/>
        </w:rPr>
        <w:t>до осіб</w:t>
      </w:r>
      <w:r w:rsidRPr="00A620DA">
        <w:rPr>
          <w:rFonts w:ascii="Times New Roman" w:eastAsia="Times New Roman" w:hAnsi="Times New Roman" w:cs="Times New Roman"/>
          <w:color w:val="000000"/>
          <w:sz w:val="28"/>
          <w:szCs w:val="28"/>
          <w:lang w:eastAsia="uk-UA"/>
        </w:rPr>
        <w:t xml:space="preserve">, з якими в судді є родинні зв’язки, </w:t>
      </w:r>
      <w:r w:rsidR="00531C21">
        <w:rPr>
          <w:rFonts w:ascii="Times New Roman" w:eastAsia="Times New Roman" w:hAnsi="Times New Roman" w:cs="Times New Roman"/>
          <w:color w:val="000000"/>
          <w:sz w:val="28"/>
          <w:szCs w:val="28"/>
          <w:lang w:eastAsia="uk-UA"/>
        </w:rPr>
        <w:t>належать</w:t>
      </w:r>
      <w:r w:rsidRPr="00A620DA">
        <w:rPr>
          <w:rFonts w:ascii="Times New Roman" w:eastAsia="Times New Roman" w:hAnsi="Times New Roman" w:cs="Times New Roman"/>
          <w:color w:val="000000"/>
          <w:sz w:val="28"/>
          <w:szCs w:val="28"/>
          <w:lang w:eastAsia="uk-UA"/>
        </w:rPr>
        <w:t>:</w:t>
      </w:r>
    </w:p>
    <w:p w:rsidR="00A620DA" w:rsidRPr="00A620DA" w:rsidRDefault="00531C21" w:rsidP="00EB55A8">
      <w:pPr>
        <w:numPr>
          <w:ilvl w:val="0"/>
          <w:numId w:val="13"/>
        </w:numPr>
        <w:tabs>
          <w:tab w:val="clear" w:pos="720"/>
          <w:tab w:val="num" w:pos="851"/>
          <w:tab w:val="num" w:pos="993"/>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531C21">
        <w:rPr>
          <w:rFonts w:ascii="Times New Roman" w:eastAsia="Times New Roman" w:hAnsi="Times New Roman" w:cs="Times New Roman"/>
          <w:color w:val="000000"/>
          <w:sz w:val="28"/>
          <w:szCs w:val="28"/>
          <w:lang w:eastAsia="uk-UA"/>
        </w:rPr>
        <w:t>особи, які спільно проживають, пов’язані спільним побутом і мають взаємні права та обов’язки із суддею (крім осіб, взаємні права та обов’язки яких із суддею не мають характеру сімейних), у тому числі особи, які спільно проживають, але не перебувають у шлюбі із суддею</w:t>
      </w:r>
      <w:r w:rsidR="00A620DA" w:rsidRPr="00A620DA">
        <w:rPr>
          <w:rFonts w:ascii="Times New Roman" w:eastAsia="Times New Roman" w:hAnsi="Times New Roman" w:cs="Times New Roman"/>
          <w:color w:val="000000"/>
          <w:sz w:val="28"/>
          <w:szCs w:val="28"/>
          <w:lang w:eastAsia="uk-UA"/>
        </w:rPr>
        <w:t>;</w:t>
      </w:r>
    </w:p>
    <w:p w:rsidR="00A620DA" w:rsidRPr="00A620DA" w:rsidRDefault="00531C21" w:rsidP="00EB55A8">
      <w:pPr>
        <w:numPr>
          <w:ilvl w:val="0"/>
          <w:numId w:val="13"/>
        </w:numPr>
        <w:tabs>
          <w:tab w:val="clear" w:pos="720"/>
          <w:tab w:val="num" w:pos="993"/>
        </w:tabs>
        <w:spacing w:after="0" w:line="240" w:lineRule="auto"/>
        <w:ind w:left="0" w:firstLine="709"/>
        <w:jc w:val="both"/>
        <w:textAlignment w:val="baseline"/>
        <w:rPr>
          <w:rFonts w:ascii="Times New Roman" w:eastAsia="Times New Roman" w:hAnsi="Times New Roman" w:cs="Times New Roman"/>
          <w:color w:val="000000"/>
          <w:sz w:val="28"/>
          <w:szCs w:val="28"/>
          <w:lang w:eastAsia="uk-UA"/>
        </w:rPr>
      </w:pPr>
      <w:r w:rsidRPr="00531C21">
        <w:rPr>
          <w:rFonts w:ascii="Times New Roman" w:eastAsia="Times New Roman" w:hAnsi="Times New Roman" w:cs="Times New Roman"/>
          <w:color w:val="000000"/>
          <w:sz w:val="28"/>
          <w:szCs w:val="28"/>
          <w:lang w:eastAsia="uk-UA"/>
        </w:rPr>
        <w:t xml:space="preserve">незалежно від визначених </w:t>
      </w:r>
      <w:r>
        <w:rPr>
          <w:rFonts w:ascii="Times New Roman" w:eastAsia="Times New Roman" w:hAnsi="Times New Roman" w:cs="Times New Roman"/>
          <w:color w:val="000000"/>
          <w:sz w:val="28"/>
          <w:szCs w:val="28"/>
          <w:lang w:eastAsia="uk-UA"/>
        </w:rPr>
        <w:t>попереднім пунктом</w:t>
      </w:r>
      <w:r w:rsidRPr="00531C21">
        <w:rPr>
          <w:rFonts w:ascii="Times New Roman" w:eastAsia="Times New Roman" w:hAnsi="Times New Roman" w:cs="Times New Roman"/>
          <w:color w:val="000000"/>
          <w:sz w:val="28"/>
          <w:szCs w:val="28"/>
          <w:lang w:eastAsia="uk-UA"/>
        </w:rPr>
        <w:t xml:space="preserve"> умов </w:t>
      </w:r>
      <w:r>
        <w:rPr>
          <w:rFonts w:ascii="Times New Roman" w:eastAsia="Times New Roman" w:hAnsi="Times New Roman" w:cs="Times New Roman"/>
          <w:color w:val="000000"/>
          <w:sz w:val="28"/>
          <w:szCs w:val="28"/>
          <w:lang w:eastAsia="uk-UA"/>
        </w:rPr>
        <w:t xml:space="preserve">– </w:t>
      </w:r>
      <w:r w:rsidRPr="00531C21">
        <w:rPr>
          <w:rFonts w:ascii="Times New Roman" w:eastAsia="Times New Roman" w:hAnsi="Times New Roman" w:cs="Times New Roman"/>
          <w:color w:val="000000"/>
          <w:sz w:val="28"/>
          <w:szCs w:val="28"/>
          <w:lang w:eastAsia="uk-UA"/>
        </w:rPr>
        <w:t>чоловік, дружина, а також родичі кожного з подружжя чи родичі осіб, які спільно проживають, але не перебувають у шлюбі з суддею</w:t>
      </w:r>
      <w:r w:rsidR="00A620DA" w:rsidRPr="00A620DA">
        <w:rPr>
          <w:rFonts w:ascii="Times New Roman" w:eastAsia="Times New Roman" w:hAnsi="Times New Roman" w:cs="Times New Roman"/>
          <w:color w:val="000000"/>
          <w:sz w:val="28"/>
          <w:szCs w:val="28"/>
          <w:lang w:eastAsia="uk-UA"/>
        </w:rPr>
        <w:t>.</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За відсутності доказів іншого відомості і твердження у Декларації вважаються достовірними (пункт 170 Регламенту). </w:t>
      </w:r>
    </w:p>
    <w:p w:rsidR="00A620DA" w:rsidRPr="00A620DA" w:rsidRDefault="00A620DA" w:rsidP="00EB55A8">
      <w:pPr>
        <w:tabs>
          <w:tab w:val="num" w:pos="993"/>
        </w:tabs>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Комісія не пізніше одного місяця з дня отримання Повідомлення, ухвалює рішення про проведення або про відмову в проведенні перевірки Декларації (абзац 1 частини третьої статті 62 Закону). Відповідно до підпункту 177.1 пункту 177 Регламенту підставою для відмови у проведенні перевірки Декларації, зокрема, є невідповідність Повідомлення вимогам, визначеним Регламентом.</w:t>
      </w:r>
    </w:p>
    <w:p w:rsidR="00A620DA" w:rsidRDefault="00A620DA" w:rsidP="008E38E8">
      <w:pPr>
        <w:tabs>
          <w:tab w:val="num" w:pos="993"/>
        </w:tabs>
        <w:spacing w:after="0" w:line="240" w:lineRule="auto"/>
        <w:rPr>
          <w:rFonts w:ascii="Times New Roman" w:eastAsia="Times New Roman" w:hAnsi="Times New Roman" w:cs="Times New Roman"/>
          <w:sz w:val="24"/>
          <w:szCs w:val="24"/>
          <w:lang w:eastAsia="uk-UA"/>
        </w:rPr>
      </w:pPr>
    </w:p>
    <w:p w:rsidR="008E38E8" w:rsidRPr="00A620DA" w:rsidRDefault="008E38E8" w:rsidP="008E38E8">
      <w:pPr>
        <w:tabs>
          <w:tab w:val="num" w:pos="993"/>
        </w:tabs>
        <w:spacing w:after="0" w:line="240" w:lineRule="auto"/>
        <w:rPr>
          <w:rFonts w:ascii="Times New Roman" w:eastAsia="Times New Roman" w:hAnsi="Times New Roman" w:cs="Times New Roman"/>
          <w:sz w:val="24"/>
          <w:szCs w:val="24"/>
          <w:lang w:eastAsia="uk-UA"/>
        </w:rPr>
      </w:pPr>
    </w:p>
    <w:p w:rsidR="00A620DA" w:rsidRPr="00A620DA" w:rsidRDefault="00A620DA" w:rsidP="00EB55A8">
      <w:pPr>
        <w:numPr>
          <w:ilvl w:val="0"/>
          <w:numId w:val="14"/>
        </w:numPr>
        <w:tabs>
          <w:tab w:val="num" w:pos="993"/>
        </w:tabs>
        <w:spacing w:after="0" w:line="240" w:lineRule="auto"/>
        <w:ind w:firstLine="709"/>
        <w:jc w:val="both"/>
        <w:textAlignment w:val="baseline"/>
        <w:rPr>
          <w:rFonts w:ascii="Times New Roman" w:eastAsia="Times New Roman" w:hAnsi="Times New Roman" w:cs="Times New Roman"/>
          <w:b/>
          <w:bCs/>
          <w:color w:val="000000"/>
          <w:sz w:val="28"/>
          <w:szCs w:val="28"/>
          <w:lang w:eastAsia="uk-UA"/>
        </w:rPr>
      </w:pPr>
      <w:r w:rsidRPr="00A620DA">
        <w:rPr>
          <w:rFonts w:ascii="Times New Roman" w:eastAsia="Times New Roman" w:hAnsi="Times New Roman" w:cs="Times New Roman"/>
          <w:b/>
          <w:bCs/>
          <w:color w:val="000000"/>
          <w:sz w:val="28"/>
          <w:szCs w:val="28"/>
          <w:lang w:eastAsia="uk-UA"/>
        </w:rPr>
        <w:t>Результати попереднього вивчення повідомлення</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За результатами попереднього вивчення Комісія дійшла висновку, що Повідомлення ГО «СТОПКОР» не відповідає вимогам Регламенту з огляду на таке.</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b/>
          <w:bCs/>
          <w:color w:val="000000"/>
          <w:sz w:val="28"/>
          <w:szCs w:val="28"/>
          <w:lang w:eastAsia="uk-UA"/>
        </w:rPr>
        <w:t>Стосовно прохання провести перевірку декларацій двох видів без зазначення звітного періоду (невідповідність вимогам пункту 174 Регламенту).</w:t>
      </w:r>
      <w:r w:rsidRPr="00A620DA">
        <w:rPr>
          <w:rFonts w:ascii="Times New Roman" w:eastAsia="Times New Roman" w:hAnsi="Times New Roman" w:cs="Times New Roman"/>
          <w:color w:val="000000"/>
          <w:sz w:val="28"/>
          <w:szCs w:val="28"/>
          <w:lang w:eastAsia="uk-UA"/>
        </w:rPr>
        <w:t> </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Заявник просить провести перевірку двох видів декларацій (декларації родинних зв’язків судді та декларації доброчесності судді) без зазначення відповідного звітного періоду. Це суперечить вимогам пункту 174 Регламенту, що відповідно до підпун</w:t>
      </w:r>
      <w:r w:rsidR="00531C21">
        <w:rPr>
          <w:rFonts w:ascii="Times New Roman" w:eastAsia="Times New Roman" w:hAnsi="Times New Roman" w:cs="Times New Roman"/>
          <w:color w:val="000000"/>
          <w:sz w:val="28"/>
          <w:szCs w:val="28"/>
          <w:lang w:eastAsia="uk-UA"/>
        </w:rPr>
        <w:t>кту 177.1 пункту 177 Регламенту</w:t>
      </w:r>
      <w:r w:rsidRPr="00A620DA">
        <w:rPr>
          <w:rFonts w:ascii="Times New Roman" w:eastAsia="Times New Roman" w:hAnsi="Times New Roman" w:cs="Times New Roman"/>
          <w:color w:val="000000"/>
          <w:sz w:val="28"/>
          <w:szCs w:val="28"/>
          <w:lang w:eastAsia="uk-UA"/>
        </w:rPr>
        <w:t xml:space="preserve"> є підставою для ухвалення рішення про відмову в проведенні перевірки.</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Згідно з пунктом 174 Регламенту Повідомлення має стосуватись лише одного судді та окремої Декларації.</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Легітимною метою такої вимоги є забезпечення правової визначеності та ефективності процедури перевірки.</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 xml:space="preserve">Кожна декларація є окремим документом, який подається суддею за певний звітний період, має власний зміст і мету. Перевірка декларацій різних видів за різні звітні періоди в межах дослідження одного Повідомлення </w:t>
      </w:r>
      <w:r w:rsidRPr="00A620DA">
        <w:rPr>
          <w:rFonts w:ascii="Times New Roman" w:eastAsia="Times New Roman" w:hAnsi="Times New Roman" w:cs="Times New Roman"/>
          <w:color w:val="000000"/>
          <w:sz w:val="28"/>
          <w:szCs w:val="28"/>
          <w:lang w:eastAsia="uk-UA"/>
        </w:rPr>
        <w:lastRenderedPageBreak/>
        <w:t>унеможливлює визначення чіткого предмета такої перевірки. За таких умов зазначення в Повідомленні окремої декларації (тобто конкретного виду декларації та періоду декларування) є передумовою для визначення предмета та меж перевірки, з’ясування наявності чи відсутності підстав для ухвалення Комісією рішення про проведення перевірки такої Декларації. </w:t>
      </w:r>
    </w:p>
    <w:p w:rsidR="002E65C2" w:rsidRDefault="00A620DA" w:rsidP="00250E30">
      <w:pPr>
        <w:spacing w:after="0" w:line="240" w:lineRule="auto"/>
        <w:ind w:firstLine="709"/>
        <w:jc w:val="both"/>
        <w:rPr>
          <w:rFonts w:ascii="Times New Roman" w:eastAsia="Times New Roman" w:hAnsi="Times New Roman" w:cs="Times New Roman"/>
          <w:color w:val="000000"/>
          <w:sz w:val="28"/>
          <w:szCs w:val="28"/>
          <w:lang w:eastAsia="uk-UA"/>
        </w:rPr>
      </w:pPr>
      <w:r w:rsidRPr="00A620DA">
        <w:rPr>
          <w:rFonts w:ascii="Times New Roman" w:eastAsia="Times New Roman" w:hAnsi="Times New Roman" w:cs="Times New Roman"/>
          <w:color w:val="000000"/>
          <w:sz w:val="28"/>
          <w:szCs w:val="28"/>
          <w:lang w:eastAsia="uk-UA"/>
        </w:rPr>
        <w:t xml:space="preserve">Перевірка Декларації є ефективною лише за умови, якщо Комісія має можливість чітко сформувати предмет перевірки та його межі. Це необхідно для якісного та всебічного аналізу Повідомлення та подальшої перевірки. </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Визначення предмета та меж перевірки також є гарантією правової визначеності для судді, який подав відповідну Декларацію. Суддя повинен мати змогу знати та розуміти, які саме відомості або твердження, в якій Декларації та за який звітний період ставляться під сумнів заявником, щоб мати змогу надати пояснення та докази.</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 xml:space="preserve">Водночас зазначена вимога не обмежує </w:t>
      </w:r>
      <w:proofErr w:type="spellStart"/>
      <w:r w:rsidRPr="00A620DA">
        <w:rPr>
          <w:rFonts w:ascii="Times New Roman" w:eastAsia="Times New Roman" w:hAnsi="Times New Roman" w:cs="Times New Roman"/>
          <w:color w:val="000000"/>
          <w:sz w:val="28"/>
          <w:szCs w:val="28"/>
          <w:lang w:eastAsia="uk-UA"/>
        </w:rPr>
        <w:t>дискрецію</w:t>
      </w:r>
      <w:proofErr w:type="spellEnd"/>
      <w:r w:rsidRPr="00A620DA">
        <w:rPr>
          <w:rFonts w:ascii="Times New Roman" w:eastAsia="Times New Roman" w:hAnsi="Times New Roman" w:cs="Times New Roman"/>
          <w:color w:val="000000"/>
          <w:sz w:val="28"/>
          <w:szCs w:val="28"/>
          <w:lang w:eastAsia="uk-UA"/>
        </w:rPr>
        <w:t xml:space="preserve"> Комісії досліджувати обставини, що стосуються різних звітних періодів, якщо такі обставини є подібними. Проте для цього предмет перевірки має бути визначений у Повідомленні. Натомість Повідомлення ГО «СТОПКОР» стосується багатьох різнорідних обставин, які не є подібними між собою: правдивість або неправдивість кожного твердження декларації доброчесності судді, майно родичів судді, факт спільного проживання судді та його родичів, характер родинних зв’язків судді та його родичів тощо. </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 xml:space="preserve">Саме на заявника покладається обов’язок визначати вид декларації та звітний період, а також надати конкретну інформацію, яка підтверджує недостовірність, зокрема неповноту, тверджень або відомостей, зазначених у декларації. Протилежне тлумачення відкривало б можливість застосування інквізиційного та свавільного ініціювання Комісією перевірок Декларацій суддів. Водночас це </w:t>
      </w:r>
      <w:r w:rsidR="00531C21">
        <w:rPr>
          <w:rFonts w:ascii="Times New Roman" w:eastAsia="Times New Roman" w:hAnsi="Times New Roman" w:cs="Times New Roman"/>
          <w:color w:val="000000"/>
          <w:sz w:val="28"/>
          <w:szCs w:val="28"/>
          <w:lang w:eastAsia="uk-UA"/>
        </w:rPr>
        <w:t>с</w:t>
      </w:r>
      <w:r w:rsidRPr="00A620DA">
        <w:rPr>
          <w:rFonts w:ascii="Times New Roman" w:eastAsia="Times New Roman" w:hAnsi="Times New Roman" w:cs="Times New Roman"/>
          <w:color w:val="000000"/>
          <w:sz w:val="28"/>
          <w:szCs w:val="28"/>
          <w:lang w:eastAsia="uk-UA"/>
        </w:rPr>
        <w:t xml:space="preserve">уперечило </w:t>
      </w:r>
      <w:r w:rsidR="00531C21" w:rsidRPr="00A620DA">
        <w:rPr>
          <w:rFonts w:ascii="Times New Roman" w:eastAsia="Times New Roman" w:hAnsi="Times New Roman" w:cs="Times New Roman"/>
          <w:color w:val="000000"/>
          <w:sz w:val="28"/>
          <w:szCs w:val="28"/>
          <w:lang w:eastAsia="uk-UA"/>
        </w:rPr>
        <w:t xml:space="preserve">б </w:t>
      </w:r>
      <w:r w:rsidRPr="00A620DA">
        <w:rPr>
          <w:rFonts w:ascii="Times New Roman" w:eastAsia="Times New Roman" w:hAnsi="Times New Roman" w:cs="Times New Roman"/>
          <w:color w:val="000000"/>
          <w:sz w:val="28"/>
          <w:szCs w:val="28"/>
          <w:lang w:eastAsia="uk-UA"/>
        </w:rPr>
        <w:t>меті відповідного механізму: згідно з частиною першою статті 62 Закону підставою для перевірки Декларації є виключно звернення особи, а не ініціатива Комісії.</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Натомість заявник у Повідомленні ГО «СТОПКОР», по-перше, просить провести перевірку одразу двох видів декларацій, по-друге, не вказує конкретний період декларування, якого стосується Повідомлення ГО</w:t>
      </w:r>
      <w:r>
        <w:rPr>
          <w:rFonts w:ascii="Times New Roman" w:eastAsia="Times New Roman" w:hAnsi="Times New Roman" w:cs="Times New Roman"/>
          <w:color w:val="000000"/>
          <w:sz w:val="28"/>
          <w:szCs w:val="28"/>
          <w:lang w:val="en-US" w:eastAsia="uk-UA"/>
        </w:rPr>
        <w:t> </w:t>
      </w:r>
      <w:r w:rsidRPr="00A620DA">
        <w:rPr>
          <w:rFonts w:ascii="Times New Roman" w:eastAsia="Times New Roman" w:hAnsi="Times New Roman" w:cs="Times New Roman"/>
          <w:color w:val="000000"/>
          <w:sz w:val="28"/>
          <w:szCs w:val="28"/>
          <w:lang w:eastAsia="uk-UA"/>
        </w:rPr>
        <w:t>«СТОПКОР».</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 xml:space="preserve">Отже, це свідчить про недотримання </w:t>
      </w:r>
      <w:r w:rsidR="00531C21">
        <w:rPr>
          <w:rFonts w:ascii="Times New Roman" w:eastAsia="Times New Roman" w:hAnsi="Times New Roman" w:cs="Times New Roman"/>
          <w:color w:val="000000"/>
          <w:sz w:val="28"/>
          <w:szCs w:val="28"/>
          <w:lang w:eastAsia="uk-UA"/>
        </w:rPr>
        <w:t>вимог пункту 174 Регламенту, що</w:t>
      </w:r>
      <w:r w:rsidRPr="00A620DA">
        <w:rPr>
          <w:rFonts w:ascii="Times New Roman" w:eastAsia="Times New Roman" w:hAnsi="Times New Roman" w:cs="Times New Roman"/>
          <w:color w:val="000000"/>
          <w:sz w:val="28"/>
          <w:szCs w:val="28"/>
          <w:lang w:eastAsia="uk-UA"/>
        </w:rPr>
        <w:t xml:space="preserve"> відповідно до підпун</w:t>
      </w:r>
      <w:r w:rsidR="00531C21">
        <w:rPr>
          <w:rFonts w:ascii="Times New Roman" w:eastAsia="Times New Roman" w:hAnsi="Times New Roman" w:cs="Times New Roman"/>
          <w:color w:val="000000"/>
          <w:sz w:val="28"/>
          <w:szCs w:val="28"/>
          <w:lang w:eastAsia="uk-UA"/>
        </w:rPr>
        <w:t>кту 177.1 пункту 177 Регламенту</w:t>
      </w:r>
      <w:r w:rsidRPr="00A620DA">
        <w:rPr>
          <w:rFonts w:ascii="Times New Roman" w:eastAsia="Times New Roman" w:hAnsi="Times New Roman" w:cs="Times New Roman"/>
          <w:color w:val="000000"/>
          <w:sz w:val="28"/>
          <w:szCs w:val="28"/>
          <w:lang w:eastAsia="uk-UA"/>
        </w:rPr>
        <w:t xml:space="preserve"> є підставою для ухвалення рішення про відмову в проведенні перевірки.</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b/>
          <w:bCs/>
          <w:color w:val="000000"/>
          <w:sz w:val="28"/>
          <w:szCs w:val="28"/>
          <w:lang w:eastAsia="uk-UA"/>
        </w:rPr>
        <w:t>Стосовно назви вказаних заявником декларацій (невідповідність вимогам підпункту 173.3 пункту 173 Регламенту). </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Повідомлення ГО «СТОПКОР» не містить повної назви декларації родинних зв’язків судді та назви декларації доброчесності судді, що є обов’язковою вимогою до Повідомлення.</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Відповідно до частини першої статті 61 та частини першої статті 62 Закону в редакції до ухвалення Закону № 4905-ІХ (якою регулювались декларація родинних зв’язків судді та декларація доброчесності судді) Комісія визначає форму декларації родинних зв’язків судді та декларації доброчесності судді.</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lastRenderedPageBreak/>
        <w:t xml:space="preserve">Рішенням Комісії від 31 жовтня 2016 </w:t>
      </w:r>
      <w:r w:rsidR="00532F0F">
        <w:rPr>
          <w:rFonts w:ascii="Times New Roman" w:eastAsia="Times New Roman" w:hAnsi="Times New Roman" w:cs="Times New Roman"/>
          <w:color w:val="000000"/>
          <w:sz w:val="28"/>
          <w:szCs w:val="28"/>
          <w:lang w:eastAsia="uk-UA"/>
        </w:rPr>
        <w:t xml:space="preserve">року </w:t>
      </w:r>
      <w:r w:rsidRPr="00A620DA">
        <w:rPr>
          <w:rFonts w:ascii="Times New Roman" w:eastAsia="Times New Roman" w:hAnsi="Times New Roman" w:cs="Times New Roman"/>
          <w:color w:val="000000"/>
          <w:sz w:val="28"/>
          <w:szCs w:val="28"/>
          <w:lang w:eastAsia="uk-UA"/>
        </w:rPr>
        <w:t>№ 137/зп-16 затверджено форму декларації родинних зв’язків судді та декларації доброчесності судді. Відповідно до встановлених форм рік або період декларування є частиною назви цих декларацій: «Декларація родинних зв’язків судді за 20__</w:t>
      </w:r>
      <w:r w:rsidR="00531C21">
        <w:rPr>
          <w:rFonts w:ascii="Times New Roman" w:eastAsia="Times New Roman" w:hAnsi="Times New Roman" w:cs="Times New Roman"/>
          <w:color w:val="000000"/>
          <w:sz w:val="28"/>
          <w:szCs w:val="28"/>
          <w:lang w:eastAsia="uk-UA"/>
        </w:rPr>
        <w:t>–</w:t>
      </w:r>
      <w:r w:rsidRPr="00A620DA">
        <w:rPr>
          <w:rFonts w:ascii="Times New Roman" w:eastAsia="Times New Roman" w:hAnsi="Times New Roman" w:cs="Times New Roman"/>
          <w:color w:val="000000"/>
          <w:sz w:val="28"/>
          <w:szCs w:val="28"/>
          <w:lang w:eastAsia="uk-UA"/>
        </w:rPr>
        <w:t>20__ роки» та «Декларація доброчесності судді за 20___ рік». Отже, під назвою варто розуміти не суто вид декларації, але також звітний період декларування.  </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Період декларування є складовою назви, оскільки необхідний для ідентифікації конкретної декларації серед аналогічних за інші періоди. Без зазначення відповідної інформації Комісія позбавлена можливості встановити, які саме декларації такого судді просить перевірити заявник</w:t>
      </w:r>
      <w:r w:rsidR="00531C21">
        <w:rPr>
          <w:rFonts w:ascii="Times New Roman" w:eastAsia="Times New Roman" w:hAnsi="Times New Roman" w:cs="Times New Roman"/>
          <w:color w:val="000000"/>
          <w:sz w:val="28"/>
          <w:szCs w:val="28"/>
          <w:lang w:eastAsia="uk-UA"/>
        </w:rPr>
        <w:t>,</w:t>
      </w:r>
      <w:r w:rsidRPr="00A620DA">
        <w:rPr>
          <w:rFonts w:ascii="Times New Roman" w:eastAsia="Times New Roman" w:hAnsi="Times New Roman" w:cs="Times New Roman"/>
          <w:color w:val="000000"/>
          <w:sz w:val="28"/>
          <w:szCs w:val="28"/>
          <w:lang w:eastAsia="uk-UA"/>
        </w:rPr>
        <w:t xml:space="preserve"> і не може визначити чітко предмет перевірки.</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Отже, Повідомлення ГО «СТОПКОР» не відповідає вимогам, визначеним підпунктом 173.3 пункту 173 Регламенту, а саме не містить повної назви декларації. Відповідно до підпункту 177.1 пункту 177 Регламенту, це є підставою для ухвалення рішення про відмову в проведенні перевірки.</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b/>
          <w:bCs/>
          <w:color w:val="000000"/>
          <w:sz w:val="28"/>
          <w:szCs w:val="28"/>
          <w:lang w:eastAsia="uk-UA"/>
        </w:rPr>
        <w:t>Стосовно відсутності конкретної інформації, яка підтверджує недостовірність, зокрема неповноту, відомостей або тверджень у вказаних заявником деклараціях (невідповідність вимогам підпункту 173.5 пункту 173 Регламенту). </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У Повідомленні ГО «СТОПКОР» не вказано інформаці</w:t>
      </w:r>
      <w:r w:rsidR="00531C21">
        <w:rPr>
          <w:rFonts w:ascii="Times New Roman" w:eastAsia="Times New Roman" w:hAnsi="Times New Roman" w:cs="Times New Roman"/>
          <w:color w:val="000000"/>
          <w:sz w:val="28"/>
          <w:szCs w:val="28"/>
          <w:lang w:eastAsia="uk-UA"/>
        </w:rPr>
        <w:t>ї</w:t>
      </w:r>
      <w:r w:rsidRPr="00A620DA">
        <w:rPr>
          <w:rFonts w:ascii="Times New Roman" w:eastAsia="Times New Roman" w:hAnsi="Times New Roman" w:cs="Times New Roman"/>
          <w:color w:val="000000"/>
          <w:sz w:val="28"/>
          <w:szCs w:val="28"/>
          <w:lang w:eastAsia="uk-UA"/>
        </w:rPr>
        <w:t>, яка підтверджує недостовірність, зокрема неповноту, відомостей або тверджень у зазначених ним деклараціях та може бути перевірена.</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Частин</w:t>
      </w:r>
      <w:r w:rsidR="00531C21">
        <w:rPr>
          <w:rFonts w:ascii="Times New Roman" w:eastAsia="Times New Roman" w:hAnsi="Times New Roman" w:cs="Times New Roman"/>
          <w:color w:val="000000"/>
          <w:sz w:val="28"/>
          <w:szCs w:val="28"/>
          <w:lang w:eastAsia="uk-UA"/>
        </w:rPr>
        <w:t>ою</w:t>
      </w:r>
      <w:r w:rsidRPr="00A620DA">
        <w:rPr>
          <w:rFonts w:ascii="Times New Roman" w:eastAsia="Times New Roman" w:hAnsi="Times New Roman" w:cs="Times New Roman"/>
          <w:color w:val="000000"/>
          <w:sz w:val="28"/>
          <w:szCs w:val="28"/>
          <w:lang w:eastAsia="uk-UA"/>
        </w:rPr>
        <w:t xml:space="preserve"> друг</w:t>
      </w:r>
      <w:r w:rsidR="00531C21">
        <w:rPr>
          <w:rFonts w:ascii="Times New Roman" w:eastAsia="Times New Roman" w:hAnsi="Times New Roman" w:cs="Times New Roman"/>
          <w:color w:val="000000"/>
          <w:sz w:val="28"/>
          <w:szCs w:val="28"/>
          <w:lang w:eastAsia="uk-UA"/>
        </w:rPr>
        <w:t>ою</w:t>
      </w:r>
      <w:r w:rsidRPr="00A620DA">
        <w:rPr>
          <w:rFonts w:ascii="Times New Roman" w:eastAsia="Times New Roman" w:hAnsi="Times New Roman" w:cs="Times New Roman"/>
          <w:color w:val="000000"/>
          <w:sz w:val="28"/>
          <w:szCs w:val="28"/>
          <w:lang w:eastAsia="uk-UA"/>
        </w:rPr>
        <w:t xml:space="preserve"> статті 61 та частин</w:t>
      </w:r>
      <w:r w:rsidR="00531C21">
        <w:rPr>
          <w:rFonts w:ascii="Times New Roman" w:eastAsia="Times New Roman" w:hAnsi="Times New Roman" w:cs="Times New Roman"/>
          <w:color w:val="000000"/>
          <w:sz w:val="28"/>
          <w:szCs w:val="28"/>
          <w:lang w:eastAsia="uk-UA"/>
        </w:rPr>
        <w:t>ою</w:t>
      </w:r>
      <w:r w:rsidRPr="00A620DA">
        <w:rPr>
          <w:rFonts w:ascii="Times New Roman" w:eastAsia="Times New Roman" w:hAnsi="Times New Roman" w:cs="Times New Roman"/>
          <w:color w:val="000000"/>
          <w:sz w:val="28"/>
          <w:szCs w:val="28"/>
          <w:lang w:eastAsia="uk-UA"/>
        </w:rPr>
        <w:t xml:space="preserve"> трет</w:t>
      </w:r>
      <w:r w:rsidR="00531C21">
        <w:rPr>
          <w:rFonts w:ascii="Times New Roman" w:eastAsia="Times New Roman" w:hAnsi="Times New Roman" w:cs="Times New Roman"/>
          <w:color w:val="000000"/>
          <w:sz w:val="28"/>
          <w:szCs w:val="28"/>
          <w:lang w:eastAsia="uk-UA"/>
        </w:rPr>
        <w:t>ьою</w:t>
      </w:r>
      <w:r w:rsidRPr="00A620DA">
        <w:rPr>
          <w:rFonts w:ascii="Times New Roman" w:eastAsia="Times New Roman" w:hAnsi="Times New Roman" w:cs="Times New Roman"/>
          <w:color w:val="000000"/>
          <w:sz w:val="28"/>
          <w:szCs w:val="28"/>
          <w:lang w:eastAsia="uk-UA"/>
        </w:rPr>
        <w:t xml:space="preserve"> статті 62 Закону в редакції до ухвалення Закону № 4905-ІХ визнач</w:t>
      </w:r>
      <w:r w:rsidR="00531C21">
        <w:rPr>
          <w:rFonts w:ascii="Times New Roman" w:eastAsia="Times New Roman" w:hAnsi="Times New Roman" w:cs="Times New Roman"/>
          <w:color w:val="000000"/>
          <w:sz w:val="28"/>
          <w:szCs w:val="28"/>
          <w:lang w:eastAsia="uk-UA"/>
        </w:rPr>
        <w:t>ено</w:t>
      </w:r>
      <w:r w:rsidRPr="00A620DA">
        <w:rPr>
          <w:rFonts w:ascii="Times New Roman" w:eastAsia="Times New Roman" w:hAnsi="Times New Roman" w:cs="Times New Roman"/>
          <w:color w:val="000000"/>
          <w:sz w:val="28"/>
          <w:szCs w:val="28"/>
          <w:lang w:eastAsia="uk-UA"/>
        </w:rPr>
        <w:t xml:space="preserve"> відомості та твердження, які мали бути зазначені в декларації родинних зв’язків судді та декларації доброчесності судді відповідно.</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 xml:space="preserve">У Повідомленні ГО «СТОПКОР» заявник стверджує, що суддя </w:t>
      </w:r>
      <w:proofErr w:type="spellStart"/>
      <w:r w:rsidRPr="00A620DA">
        <w:rPr>
          <w:rFonts w:ascii="Times New Roman" w:eastAsia="Times New Roman" w:hAnsi="Times New Roman" w:cs="Times New Roman"/>
          <w:color w:val="000000"/>
          <w:sz w:val="28"/>
          <w:szCs w:val="28"/>
          <w:lang w:eastAsia="uk-UA"/>
        </w:rPr>
        <w:t>вніс</w:t>
      </w:r>
      <w:proofErr w:type="spellEnd"/>
      <w:r w:rsidRPr="00A620DA">
        <w:rPr>
          <w:rFonts w:ascii="Times New Roman" w:eastAsia="Times New Roman" w:hAnsi="Times New Roman" w:cs="Times New Roman"/>
          <w:color w:val="000000"/>
          <w:sz w:val="28"/>
          <w:szCs w:val="28"/>
          <w:lang w:eastAsia="uk-UA"/>
        </w:rPr>
        <w:t xml:space="preserve"> недостовірні, зокрема неповні, відомості в декларацію родинних зв’язків судді та декларацію доброчесності судді. </w:t>
      </w:r>
    </w:p>
    <w:p w:rsidR="00A620DA" w:rsidRPr="00A620DA" w:rsidRDefault="00531C21" w:rsidP="00250E30">
      <w:pPr>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Стосовно</w:t>
      </w:r>
      <w:r w:rsidR="00A620DA" w:rsidRPr="00A620DA">
        <w:rPr>
          <w:rFonts w:ascii="Times New Roman" w:eastAsia="Times New Roman" w:hAnsi="Times New Roman" w:cs="Times New Roman"/>
          <w:color w:val="000000"/>
          <w:sz w:val="28"/>
          <w:szCs w:val="28"/>
          <w:lang w:eastAsia="uk-UA"/>
        </w:rPr>
        <w:t xml:space="preserve"> декларації родинних зв’язків судді. Заявник наводить відомості про майновий стан членів сім’ї та близьких родичів судді </w:t>
      </w:r>
      <w:proofErr w:type="spellStart"/>
      <w:r w:rsidR="00A620DA" w:rsidRPr="00A620DA">
        <w:rPr>
          <w:rFonts w:ascii="Times New Roman" w:eastAsia="Times New Roman" w:hAnsi="Times New Roman" w:cs="Times New Roman"/>
          <w:color w:val="000000"/>
          <w:sz w:val="28"/>
          <w:szCs w:val="28"/>
          <w:lang w:eastAsia="uk-UA"/>
        </w:rPr>
        <w:t>Малєєва</w:t>
      </w:r>
      <w:proofErr w:type="spellEnd"/>
      <w:r w:rsidR="00A620DA" w:rsidRPr="00A620DA">
        <w:rPr>
          <w:rFonts w:ascii="Times New Roman" w:eastAsia="Times New Roman" w:hAnsi="Times New Roman" w:cs="Times New Roman"/>
          <w:color w:val="000000"/>
          <w:sz w:val="28"/>
          <w:szCs w:val="28"/>
          <w:lang w:eastAsia="uk-UA"/>
        </w:rPr>
        <w:t xml:space="preserve"> А.Ю.: сина, дружини та тещі. З цього Комісія виснує, що заявник вказує на ймовірне </w:t>
      </w:r>
      <w:proofErr w:type="spellStart"/>
      <w:r w:rsidR="00A620DA" w:rsidRPr="00A620DA">
        <w:rPr>
          <w:rFonts w:ascii="Times New Roman" w:eastAsia="Times New Roman" w:hAnsi="Times New Roman" w:cs="Times New Roman"/>
          <w:color w:val="000000"/>
          <w:sz w:val="28"/>
          <w:szCs w:val="28"/>
          <w:lang w:eastAsia="uk-UA"/>
        </w:rPr>
        <w:t>незазначення</w:t>
      </w:r>
      <w:proofErr w:type="spellEnd"/>
      <w:r w:rsidR="00A620DA" w:rsidRPr="00A620DA">
        <w:rPr>
          <w:rFonts w:ascii="Times New Roman" w:eastAsia="Times New Roman" w:hAnsi="Times New Roman" w:cs="Times New Roman"/>
          <w:color w:val="000000"/>
          <w:sz w:val="28"/>
          <w:szCs w:val="28"/>
          <w:lang w:eastAsia="uk-UA"/>
        </w:rPr>
        <w:t xml:space="preserve"> сина та тещі в декларації родинних зв’язків судді. Як зазначалося вище, суддя повинен вказати в декларації родинних зв’язків інформацію про осіб, з якими він має родинний зв’язок, якщо такі особи протягом останніх п’яти років, що передують даті подання декларації, займали посади, визначені підпунктами «а»-«р» пункту 2 частини другої статті 61 Закону в редакції до ухвалення Закону № 4905-ІХ. Проте заявник не надав інформацію, яка могла б підтвердити, що син чи теща судді </w:t>
      </w:r>
      <w:r>
        <w:rPr>
          <w:rFonts w:ascii="Times New Roman" w:eastAsia="Times New Roman" w:hAnsi="Times New Roman" w:cs="Times New Roman"/>
          <w:color w:val="000000"/>
          <w:sz w:val="28"/>
          <w:szCs w:val="28"/>
          <w:lang w:eastAsia="uk-UA"/>
        </w:rPr>
        <w:t>обіймають</w:t>
      </w:r>
      <w:r w:rsidR="00A620DA" w:rsidRPr="00A620DA">
        <w:rPr>
          <w:rFonts w:ascii="Times New Roman" w:eastAsia="Times New Roman" w:hAnsi="Times New Roman" w:cs="Times New Roman"/>
          <w:color w:val="000000"/>
          <w:sz w:val="28"/>
          <w:szCs w:val="28"/>
          <w:lang w:eastAsia="uk-UA"/>
        </w:rPr>
        <w:t xml:space="preserve"> або </w:t>
      </w:r>
      <w:r>
        <w:rPr>
          <w:rFonts w:ascii="Times New Roman" w:eastAsia="Times New Roman" w:hAnsi="Times New Roman" w:cs="Times New Roman"/>
          <w:color w:val="000000"/>
          <w:sz w:val="28"/>
          <w:szCs w:val="28"/>
          <w:lang w:eastAsia="uk-UA"/>
        </w:rPr>
        <w:t>обіймали</w:t>
      </w:r>
      <w:r w:rsidR="00A620DA" w:rsidRPr="00A620DA">
        <w:rPr>
          <w:rFonts w:ascii="Times New Roman" w:eastAsia="Times New Roman" w:hAnsi="Times New Roman" w:cs="Times New Roman"/>
          <w:color w:val="000000"/>
          <w:sz w:val="28"/>
          <w:szCs w:val="28"/>
          <w:lang w:eastAsia="uk-UA"/>
        </w:rPr>
        <w:t xml:space="preserve"> посади, визначені зазначеними підпунктами.</w:t>
      </w:r>
    </w:p>
    <w:p w:rsidR="00A620DA" w:rsidRPr="00A620DA" w:rsidRDefault="00531C21" w:rsidP="00250E30">
      <w:pPr>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Стосовно</w:t>
      </w:r>
      <w:r w:rsidR="00A620DA" w:rsidRPr="00A620DA">
        <w:rPr>
          <w:rFonts w:ascii="Times New Roman" w:eastAsia="Times New Roman" w:hAnsi="Times New Roman" w:cs="Times New Roman"/>
          <w:color w:val="000000"/>
          <w:sz w:val="28"/>
          <w:szCs w:val="28"/>
          <w:lang w:eastAsia="uk-UA"/>
        </w:rPr>
        <w:t xml:space="preserve"> декларації </w:t>
      </w:r>
      <w:r w:rsidR="00A620DA" w:rsidRPr="00EB55A8">
        <w:rPr>
          <w:rFonts w:ascii="Times New Roman" w:eastAsia="Times New Roman" w:hAnsi="Times New Roman" w:cs="Times New Roman"/>
          <w:color w:val="000000"/>
          <w:sz w:val="28"/>
          <w:szCs w:val="28"/>
          <w:lang w:eastAsia="uk-UA"/>
        </w:rPr>
        <w:t xml:space="preserve">доброчесності судді. Заявник стверджує, що </w:t>
      </w:r>
      <w:proofErr w:type="spellStart"/>
      <w:r w:rsidR="00A620DA" w:rsidRPr="00EB55A8">
        <w:rPr>
          <w:rFonts w:ascii="Times New Roman" w:eastAsia="Times New Roman" w:hAnsi="Times New Roman" w:cs="Times New Roman"/>
          <w:color w:val="000000"/>
          <w:sz w:val="28"/>
          <w:szCs w:val="28"/>
          <w:lang w:eastAsia="uk-UA"/>
        </w:rPr>
        <w:t>незазначення</w:t>
      </w:r>
      <w:proofErr w:type="spellEnd"/>
      <w:r w:rsidR="00A620DA" w:rsidRPr="00EB55A8">
        <w:rPr>
          <w:rFonts w:ascii="Times New Roman" w:eastAsia="Times New Roman" w:hAnsi="Times New Roman" w:cs="Times New Roman"/>
          <w:color w:val="000000"/>
          <w:sz w:val="28"/>
          <w:szCs w:val="28"/>
          <w:lang w:eastAsia="uk-UA"/>
        </w:rPr>
        <w:t xml:space="preserve"> інформації про майновий стан родичів судді в декларації особи, уповноваженої на виконання функцій держави або місцевого самоврядування, свідчить про неправдивість тверджень декларації доброчесності судді. Проте </w:t>
      </w:r>
      <w:r w:rsidR="00A620DA" w:rsidRPr="00EB55A8">
        <w:rPr>
          <w:rFonts w:ascii="Times New Roman" w:eastAsia="Times New Roman" w:hAnsi="Times New Roman" w:cs="Times New Roman"/>
          <w:color w:val="000000"/>
          <w:sz w:val="28"/>
          <w:szCs w:val="28"/>
          <w:lang w:eastAsia="uk-UA"/>
        </w:rPr>
        <w:lastRenderedPageBreak/>
        <w:t>заявник не надає інформаці</w:t>
      </w:r>
      <w:r w:rsidRPr="00EB55A8">
        <w:rPr>
          <w:rFonts w:ascii="Times New Roman" w:eastAsia="Times New Roman" w:hAnsi="Times New Roman" w:cs="Times New Roman"/>
          <w:color w:val="000000"/>
          <w:sz w:val="28"/>
          <w:szCs w:val="28"/>
          <w:lang w:eastAsia="uk-UA"/>
        </w:rPr>
        <w:t>ї на підтвердження цього</w:t>
      </w:r>
      <w:r w:rsidR="00532F0F">
        <w:rPr>
          <w:rFonts w:ascii="Times New Roman" w:eastAsia="Times New Roman" w:hAnsi="Times New Roman" w:cs="Times New Roman"/>
          <w:color w:val="000000"/>
          <w:sz w:val="28"/>
          <w:szCs w:val="28"/>
          <w:lang w:eastAsia="uk-UA"/>
        </w:rPr>
        <w:t>, зокрема,</w:t>
      </w:r>
      <w:r w:rsidR="00A620DA" w:rsidRPr="00EB55A8">
        <w:rPr>
          <w:rFonts w:ascii="Times New Roman" w:eastAsia="Times New Roman" w:hAnsi="Times New Roman" w:cs="Times New Roman"/>
          <w:color w:val="000000"/>
          <w:sz w:val="28"/>
          <w:szCs w:val="28"/>
          <w:lang w:eastAsia="uk-UA"/>
        </w:rPr>
        <w:t xml:space="preserve"> </w:t>
      </w:r>
      <w:r w:rsidR="00532F0F">
        <w:rPr>
          <w:rFonts w:ascii="Times New Roman" w:eastAsia="Times New Roman" w:hAnsi="Times New Roman" w:cs="Times New Roman"/>
          <w:color w:val="000000"/>
          <w:sz w:val="28"/>
          <w:szCs w:val="28"/>
          <w:lang w:eastAsia="uk-UA"/>
        </w:rPr>
        <w:t xml:space="preserve">копії </w:t>
      </w:r>
      <w:r w:rsidRPr="00EB55A8">
        <w:rPr>
          <w:rFonts w:ascii="Times New Roman" w:eastAsia="Times New Roman" w:hAnsi="Times New Roman" w:cs="Times New Roman"/>
          <w:color w:val="000000"/>
          <w:sz w:val="28"/>
          <w:szCs w:val="28"/>
          <w:lang w:eastAsia="uk-UA"/>
        </w:rPr>
        <w:t xml:space="preserve">рішення Національного </w:t>
      </w:r>
      <w:r w:rsidR="00EB55A8" w:rsidRPr="00EB55A8">
        <w:rPr>
          <w:rFonts w:ascii="Times New Roman" w:eastAsia="Times New Roman" w:hAnsi="Times New Roman" w:cs="Times New Roman"/>
          <w:color w:val="000000"/>
          <w:sz w:val="28"/>
          <w:szCs w:val="28"/>
          <w:lang w:eastAsia="uk-UA"/>
        </w:rPr>
        <w:t xml:space="preserve">агентства з питань запобігання корупції за наслідками повної перевірки майнової декларації судді </w:t>
      </w:r>
      <w:proofErr w:type="spellStart"/>
      <w:r w:rsidR="00EB55A8" w:rsidRPr="00EB55A8">
        <w:rPr>
          <w:rFonts w:ascii="Times New Roman" w:eastAsia="Times New Roman" w:hAnsi="Times New Roman" w:cs="Times New Roman"/>
          <w:color w:val="000000"/>
          <w:sz w:val="28"/>
          <w:szCs w:val="28"/>
          <w:lang w:eastAsia="uk-UA"/>
        </w:rPr>
        <w:t>Малєєва</w:t>
      </w:r>
      <w:proofErr w:type="spellEnd"/>
      <w:r w:rsidR="00EB55A8" w:rsidRPr="00EB55A8">
        <w:rPr>
          <w:rFonts w:ascii="Times New Roman" w:eastAsia="Times New Roman" w:hAnsi="Times New Roman" w:cs="Times New Roman"/>
          <w:color w:val="000000"/>
          <w:sz w:val="28"/>
          <w:szCs w:val="28"/>
          <w:lang w:eastAsia="uk-UA"/>
        </w:rPr>
        <w:t xml:space="preserve"> А.Ю., </w:t>
      </w:r>
      <w:r w:rsidR="00A620DA" w:rsidRPr="00EB55A8">
        <w:rPr>
          <w:rFonts w:ascii="Times New Roman" w:eastAsia="Times New Roman" w:hAnsi="Times New Roman" w:cs="Times New Roman"/>
          <w:color w:val="000000"/>
          <w:sz w:val="28"/>
          <w:szCs w:val="28"/>
          <w:lang w:eastAsia="uk-UA"/>
        </w:rPr>
        <w:t>документ</w:t>
      </w:r>
      <w:r w:rsidR="00532F0F">
        <w:rPr>
          <w:rFonts w:ascii="Times New Roman" w:eastAsia="Times New Roman" w:hAnsi="Times New Roman" w:cs="Times New Roman"/>
          <w:color w:val="000000"/>
          <w:sz w:val="28"/>
          <w:szCs w:val="28"/>
          <w:lang w:eastAsia="uk-UA"/>
        </w:rPr>
        <w:t>ів</w:t>
      </w:r>
      <w:r w:rsidR="00A620DA" w:rsidRPr="00EB55A8">
        <w:rPr>
          <w:rFonts w:ascii="Times New Roman" w:eastAsia="Times New Roman" w:hAnsi="Times New Roman" w:cs="Times New Roman"/>
          <w:color w:val="000000"/>
          <w:sz w:val="28"/>
          <w:szCs w:val="28"/>
          <w:lang w:eastAsia="uk-UA"/>
        </w:rPr>
        <w:t>, що підтверджують факт спільного проживання, набуття у власність майна чи факт використання майна суддею або його дружиною. У Повідомленні ГО «СТОПКОР» відсутні підтвердження, які могли б надати Комісії можливість провести перевірку декларації доброчесності судді.</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Заявник не наводить інших відомостей, які, на його думку, є недостовірними, зокрема неповними. Отже, Повідомлення ГО «СТОПКОР» не містить конкретної інформації, яка підтверджує недостовірність, зокрема неповноту, відомостей або тверджень у зазначених деклараціях та може бути перевірена. Тому Повідомлення ГО «СТОПКОР» не відповідає вимогам, визначеним підпунктом 173.5 пункту 173 Регламенту.</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Підсумовуючи вищенаведене, Повідомлення ГО «СТОПКОР» не відповідає вимогам, визначеним підпунктами 173.3 та 173.5 пункту 173 та пункту 174 Регламенту. Невідповідність Повідомлення ГО «СТОПКОР» вимогам Регламенту є підставою для відмови у проведенні перевірки декларації родинних зв’язків судді та декларації доброчесності судді (підпункт 177.1 пункту 177 Регламенту).</w:t>
      </w:r>
    </w:p>
    <w:p w:rsidR="00A620DA" w:rsidRPr="00A620DA" w:rsidRDefault="00A620DA" w:rsidP="00250E30">
      <w:pPr>
        <w:spacing w:after="0" w:line="240" w:lineRule="auto"/>
        <w:ind w:firstLine="709"/>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Керуючись статтями 62, 93, 101 Закону України «Про судоустрій і статус суддів», пунктом 177 параграфа 11 розділу ІІ Регламенту Вищої кваліфікаційної комісії суддів України, Вища кваліфікаційна комісія суддів України одноголосно</w:t>
      </w:r>
    </w:p>
    <w:p w:rsidR="00A620DA" w:rsidRPr="00A620DA" w:rsidRDefault="00A620DA" w:rsidP="00A620DA">
      <w:pPr>
        <w:shd w:val="clear" w:color="auto" w:fill="FFFFFF"/>
        <w:spacing w:after="0" w:line="240" w:lineRule="auto"/>
        <w:jc w:val="center"/>
        <w:rPr>
          <w:rFonts w:ascii="Times New Roman" w:eastAsia="Times New Roman" w:hAnsi="Times New Roman" w:cs="Times New Roman"/>
          <w:sz w:val="24"/>
          <w:szCs w:val="24"/>
          <w:lang w:eastAsia="uk-UA"/>
        </w:rPr>
      </w:pPr>
    </w:p>
    <w:p w:rsidR="00A620DA" w:rsidRPr="00A620DA" w:rsidRDefault="00A620DA" w:rsidP="00A620DA">
      <w:pPr>
        <w:shd w:val="clear" w:color="auto" w:fill="FFFFFF"/>
        <w:spacing w:after="0" w:line="240" w:lineRule="auto"/>
        <w:jc w:val="center"/>
        <w:rPr>
          <w:rFonts w:ascii="Times New Roman" w:eastAsia="Times New Roman" w:hAnsi="Times New Roman" w:cs="Times New Roman"/>
          <w:sz w:val="24"/>
          <w:szCs w:val="24"/>
          <w:lang w:eastAsia="uk-UA"/>
        </w:rPr>
      </w:pPr>
      <w:r w:rsidRPr="00A620DA">
        <w:rPr>
          <w:rFonts w:ascii="Times New Roman" w:eastAsia="Times New Roman" w:hAnsi="Times New Roman" w:cs="Times New Roman"/>
          <w:b/>
          <w:bCs/>
          <w:color w:val="000000"/>
          <w:sz w:val="28"/>
          <w:szCs w:val="28"/>
          <w:lang w:eastAsia="uk-UA"/>
        </w:rPr>
        <w:t>вирішила:</w:t>
      </w:r>
    </w:p>
    <w:p w:rsidR="00A620DA" w:rsidRPr="00A620DA" w:rsidRDefault="00A620DA" w:rsidP="00A620DA">
      <w:pPr>
        <w:shd w:val="clear" w:color="auto" w:fill="FFFFFF"/>
        <w:spacing w:after="0" w:line="240" w:lineRule="auto"/>
        <w:jc w:val="center"/>
        <w:rPr>
          <w:rFonts w:ascii="Times New Roman" w:eastAsia="Times New Roman" w:hAnsi="Times New Roman" w:cs="Times New Roman"/>
          <w:sz w:val="24"/>
          <w:szCs w:val="24"/>
          <w:lang w:eastAsia="uk-UA"/>
        </w:rPr>
      </w:pPr>
    </w:p>
    <w:p w:rsidR="00A620DA" w:rsidRPr="00A620DA" w:rsidRDefault="00A620DA" w:rsidP="00A620DA">
      <w:pPr>
        <w:shd w:val="clear" w:color="auto" w:fill="FFFFFF"/>
        <w:spacing w:after="0" w:line="240" w:lineRule="auto"/>
        <w:jc w:val="both"/>
        <w:rPr>
          <w:rFonts w:ascii="Times New Roman" w:eastAsia="Times New Roman" w:hAnsi="Times New Roman" w:cs="Times New Roman"/>
          <w:sz w:val="24"/>
          <w:szCs w:val="24"/>
          <w:lang w:eastAsia="uk-UA"/>
        </w:rPr>
      </w:pPr>
      <w:r w:rsidRPr="00A620DA">
        <w:rPr>
          <w:rFonts w:ascii="Times New Roman" w:eastAsia="Times New Roman" w:hAnsi="Times New Roman" w:cs="Times New Roman"/>
          <w:color w:val="000000"/>
          <w:sz w:val="28"/>
          <w:szCs w:val="28"/>
          <w:lang w:eastAsia="uk-UA"/>
        </w:rPr>
        <w:t xml:space="preserve">відмовити в проведенні перевірки декларації родинних зв’язків судді та декларації доброчесності судді, поданих суддею Івано-Франківського апеляційного суду </w:t>
      </w:r>
      <w:proofErr w:type="spellStart"/>
      <w:r w:rsidRPr="00A620DA">
        <w:rPr>
          <w:rFonts w:ascii="Times New Roman" w:eastAsia="Times New Roman" w:hAnsi="Times New Roman" w:cs="Times New Roman"/>
          <w:color w:val="000000"/>
          <w:sz w:val="28"/>
          <w:szCs w:val="28"/>
          <w:lang w:eastAsia="uk-UA"/>
        </w:rPr>
        <w:t>Малєєвим</w:t>
      </w:r>
      <w:proofErr w:type="spellEnd"/>
      <w:r w:rsidRPr="00A620DA">
        <w:rPr>
          <w:rFonts w:ascii="Times New Roman" w:eastAsia="Times New Roman" w:hAnsi="Times New Roman" w:cs="Times New Roman"/>
          <w:color w:val="000000"/>
          <w:sz w:val="28"/>
          <w:szCs w:val="28"/>
          <w:lang w:eastAsia="uk-UA"/>
        </w:rPr>
        <w:t xml:space="preserve"> Андрієм Юрійовичем.</w:t>
      </w:r>
    </w:p>
    <w:p w:rsidR="00502328" w:rsidRPr="00404038" w:rsidRDefault="00502328" w:rsidP="00502328">
      <w:pPr>
        <w:pStyle w:val="a9"/>
        <w:shd w:val="clear" w:color="auto" w:fill="FFFFFF"/>
        <w:spacing w:before="0" w:beforeAutospacing="0" w:after="0" w:afterAutospacing="0"/>
        <w:jc w:val="both"/>
        <w:rPr>
          <w:sz w:val="28"/>
          <w:szCs w:val="28"/>
        </w:rPr>
      </w:pPr>
    </w:p>
    <w:p w:rsidR="000F5B25" w:rsidRPr="008E38E8" w:rsidRDefault="000F5B25" w:rsidP="00545290">
      <w:pPr>
        <w:tabs>
          <w:tab w:val="left" w:pos="993"/>
        </w:tabs>
        <w:spacing w:after="0" w:line="240" w:lineRule="auto"/>
        <w:jc w:val="both"/>
        <w:rPr>
          <w:rFonts w:ascii="Times New Roman" w:hAnsi="Times New Roman" w:cs="Times New Roman"/>
          <w:sz w:val="28"/>
          <w:szCs w:val="28"/>
          <w:lang w:val="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7"/>
        <w:gridCol w:w="1972"/>
        <w:gridCol w:w="2829"/>
      </w:tblGrid>
      <w:tr w:rsidR="008E38E8" w:rsidRPr="00404038" w:rsidTr="008E38E8">
        <w:tc>
          <w:tcPr>
            <w:tcW w:w="4827" w:type="dxa"/>
          </w:tcPr>
          <w:p w:rsidR="008E38E8" w:rsidRPr="00404038" w:rsidRDefault="008E38E8" w:rsidP="00545290">
            <w:pPr>
              <w:spacing w:after="240"/>
              <w:ind w:left="-107"/>
              <w:jc w:val="both"/>
              <w:rPr>
                <w:rFonts w:ascii="Times New Roman" w:eastAsia="Times New Roman" w:hAnsi="Times New Roman" w:cs="Times New Roman"/>
                <w:sz w:val="28"/>
                <w:szCs w:val="28"/>
                <w:lang w:eastAsia="uk-UA"/>
              </w:rPr>
            </w:pPr>
            <w:r w:rsidRPr="00404038">
              <w:rPr>
                <w:rFonts w:ascii="Times New Roman" w:eastAsia="Times New Roman" w:hAnsi="Times New Roman" w:cs="Times New Roman"/>
                <w:sz w:val="28"/>
                <w:szCs w:val="28"/>
              </w:rPr>
              <w:t>Головуючий</w:t>
            </w:r>
          </w:p>
        </w:tc>
        <w:tc>
          <w:tcPr>
            <w:tcW w:w="1972" w:type="dxa"/>
          </w:tcPr>
          <w:p w:rsidR="008E38E8" w:rsidRPr="00404038" w:rsidRDefault="008E38E8" w:rsidP="008E38E8">
            <w:pPr>
              <w:spacing w:after="240"/>
              <w:jc w:val="both"/>
              <w:rPr>
                <w:rFonts w:ascii="Times New Roman" w:eastAsia="Times New Roman" w:hAnsi="Times New Roman" w:cs="Times New Roman"/>
                <w:sz w:val="28"/>
                <w:szCs w:val="28"/>
                <w:lang w:eastAsia="uk-UA"/>
              </w:rPr>
            </w:pPr>
          </w:p>
        </w:tc>
        <w:tc>
          <w:tcPr>
            <w:tcW w:w="2829" w:type="dxa"/>
          </w:tcPr>
          <w:p w:rsidR="008E38E8" w:rsidRPr="00404038" w:rsidRDefault="008E38E8" w:rsidP="008E38E8">
            <w:pPr>
              <w:spacing w:after="240"/>
              <w:ind w:left="-111"/>
              <w:rPr>
                <w:rFonts w:ascii="Times New Roman" w:eastAsia="Times New Roman" w:hAnsi="Times New Roman" w:cs="Times New Roman"/>
                <w:sz w:val="28"/>
                <w:szCs w:val="28"/>
                <w:lang w:eastAsia="uk-UA"/>
              </w:rPr>
            </w:pPr>
            <w:r w:rsidRPr="00404038">
              <w:rPr>
                <w:rFonts w:ascii="Times New Roman" w:eastAsia="Times New Roman" w:hAnsi="Times New Roman" w:cs="Times New Roman"/>
                <w:sz w:val="28"/>
                <w:szCs w:val="28"/>
              </w:rPr>
              <w:t xml:space="preserve"> Руслан СИДОРОВИЧ</w:t>
            </w:r>
          </w:p>
        </w:tc>
      </w:tr>
      <w:tr w:rsidR="008E38E8" w:rsidRPr="00404038" w:rsidTr="008E38E8">
        <w:tc>
          <w:tcPr>
            <w:tcW w:w="4827" w:type="dxa"/>
          </w:tcPr>
          <w:p w:rsidR="008E38E8" w:rsidRPr="00404038" w:rsidRDefault="008E38E8" w:rsidP="00545290">
            <w:pPr>
              <w:spacing w:after="240"/>
              <w:ind w:left="-107"/>
              <w:jc w:val="both"/>
              <w:rPr>
                <w:rFonts w:ascii="Times New Roman" w:eastAsia="Times New Roman" w:hAnsi="Times New Roman" w:cs="Times New Roman"/>
                <w:sz w:val="28"/>
                <w:szCs w:val="28"/>
                <w:lang w:eastAsia="uk-UA"/>
              </w:rPr>
            </w:pPr>
            <w:r w:rsidRPr="00404038">
              <w:rPr>
                <w:rFonts w:ascii="Times New Roman" w:eastAsia="Times New Roman" w:hAnsi="Times New Roman" w:cs="Times New Roman"/>
                <w:sz w:val="28"/>
                <w:szCs w:val="28"/>
              </w:rPr>
              <w:t>Члени Комісії:</w:t>
            </w:r>
          </w:p>
        </w:tc>
        <w:tc>
          <w:tcPr>
            <w:tcW w:w="1972" w:type="dxa"/>
          </w:tcPr>
          <w:p w:rsidR="008E38E8" w:rsidRPr="00404038" w:rsidRDefault="008E38E8" w:rsidP="008E38E8">
            <w:pPr>
              <w:spacing w:after="240"/>
              <w:jc w:val="both"/>
              <w:rPr>
                <w:rFonts w:ascii="Times New Roman" w:eastAsia="Times New Roman" w:hAnsi="Times New Roman" w:cs="Times New Roman"/>
                <w:sz w:val="28"/>
                <w:szCs w:val="28"/>
                <w:lang w:eastAsia="uk-UA"/>
              </w:rPr>
            </w:pPr>
          </w:p>
        </w:tc>
        <w:tc>
          <w:tcPr>
            <w:tcW w:w="2829" w:type="dxa"/>
          </w:tcPr>
          <w:p w:rsidR="008E38E8" w:rsidRPr="00404038" w:rsidRDefault="008E38E8" w:rsidP="008E38E8">
            <w:pPr>
              <w:spacing w:after="240"/>
              <w:ind w:left="-111"/>
              <w:rPr>
                <w:rFonts w:ascii="Times New Roman" w:eastAsia="Times New Roman" w:hAnsi="Times New Roman" w:cs="Times New Roman"/>
                <w:sz w:val="28"/>
                <w:szCs w:val="28"/>
                <w:lang w:eastAsia="uk-UA"/>
              </w:rPr>
            </w:pPr>
            <w:r w:rsidRPr="00404038">
              <w:rPr>
                <w:rFonts w:ascii="Times New Roman" w:eastAsia="Times New Roman" w:hAnsi="Times New Roman" w:cs="Times New Roman"/>
                <w:sz w:val="28"/>
                <w:szCs w:val="28"/>
              </w:rPr>
              <w:t xml:space="preserve"> Людмила ВОЛКОВА</w:t>
            </w:r>
          </w:p>
        </w:tc>
      </w:tr>
      <w:tr w:rsidR="008E38E8" w:rsidRPr="00404038" w:rsidTr="008E38E8">
        <w:tc>
          <w:tcPr>
            <w:tcW w:w="4827" w:type="dxa"/>
          </w:tcPr>
          <w:p w:rsidR="008E38E8" w:rsidRPr="00404038" w:rsidRDefault="008E38E8" w:rsidP="00545290">
            <w:pPr>
              <w:spacing w:after="240"/>
              <w:jc w:val="both"/>
              <w:rPr>
                <w:rFonts w:ascii="Times New Roman" w:eastAsia="Times New Roman" w:hAnsi="Times New Roman" w:cs="Times New Roman"/>
                <w:sz w:val="28"/>
                <w:szCs w:val="28"/>
                <w:lang w:eastAsia="uk-UA"/>
              </w:rPr>
            </w:pPr>
          </w:p>
        </w:tc>
        <w:tc>
          <w:tcPr>
            <w:tcW w:w="1972" w:type="dxa"/>
          </w:tcPr>
          <w:p w:rsidR="008E38E8" w:rsidRPr="00404038" w:rsidRDefault="008E38E8" w:rsidP="00545290">
            <w:pPr>
              <w:spacing w:after="240"/>
              <w:jc w:val="both"/>
              <w:rPr>
                <w:rFonts w:ascii="Times New Roman" w:eastAsia="Times New Roman" w:hAnsi="Times New Roman" w:cs="Times New Roman"/>
                <w:sz w:val="28"/>
                <w:szCs w:val="28"/>
                <w:lang w:eastAsia="uk-UA"/>
              </w:rPr>
            </w:pPr>
          </w:p>
        </w:tc>
        <w:tc>
          <w:tcPr>
            <w:tcW w:w="2829" w:type="dxa"/>
          </w:tcPr>
          <w:p w:rsidR="008E38E8" w:rsidRPr="00404038" w:rsidRDefault="008E38E8" w:rsidP="008E38E8">
            <w:pPr>
              <w:spacing w:after="240"/>
              <w:ind w:left="-111"/>
              <w:rPr>
                <w:rFonts w:ascii="Times New Roman" w:eastAsia="Times New Roman" w:hAnsi="Times New Roman" w:cs="Times New Roman"/>
                <w:sz w:val="28"/>
                <w:szCs w:val="28"/>
                <w:lang w:eastAsia="uk-UA"/>
              </w:rPr>
            </w:pPr>
            <w:r w:rsidRPr="00404038">
              <w:rPr>
                <w:rFonts w:ascii="Times New Roman" w:eastAsia="Times New Roman" w:hAnsi="Times New Roman" w:cs="Times New Roman"/>
                <w:sz w:val="28"/>
                <w:szCs w:val="28"/>
              </w:rPr>
              <w:t xml:space="preserve"> Роман КИДИСЮК</w:t>
            </w:r>
          </w:p>
        </w:tc>
      </w:tr>
    </w:tbl>
    <w:p w:rsidR="0064467E" w:rsidRPr="00404038" w:rsidRDefault="0064467E" w:rsidP="008E38E8">
      <w:pPr>
        <w:tabs>
          <w:tab w:val="left" w:pos="993"/>
        </w:tabs>
        <w:spacing w:after="0" w:line="240" w:lineRule="auto"/>
        <w:jc w:val="both"/>
        <w:rPr>
          <w:rFonts w:ascii="Times New Roman" w:hAnsi="Times New Roman" w:cs="Times New Roman"/>
          <w:sz w:val="28"/>
          <w:szCs w:val="28"/>
        </w:rPr>
      </w:pPr>
    </w:p>
    <w:sectPr w:rsidR="0064467E" w:rsidRPr="00404038" w:rsidSect="00C6796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3AF9" w:rsidRDefault="00D83AF9" w:rsidP="00B41714">
      <w:pPr>
        <w:spacing w:after="0" w:line="240" w:lineRule="auto"/>
      </w:pPr>
      <w:r>
        <w:separator/>
      </w:r>
    </w:p>
  </w:endnote>
  <w:endnote w:type="continuationSeparator" w:id="0">
    <w:p w:rsidR="00D83AF9" w:rsidRDefault="00D83AF9" w:rsidP="00B41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3AF9" w:rsidRDefault="00D83AF9" w:rsidP="00B41714">
      <w:pPr>
        <w:spacing w:after="0" w:line="240" w:lineRule="auto"/>
      </w:pPr>
      <w:r>
        <w:separator/>
      </w:r>
    </w:p>
  </w:footnote>
  <w:footnote w:type="continuationSeparator" w:id="0">
    <w:p w:rsidR="00D83AF9" w:rsidRDefault="00D83AF9" w:rsidP="00B41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8669184"/>
      <w:docPartObj>
        <w:docPartGallery w:val="Page Numbers (Top of Page)"/>
        <w:docPartUnique/>
      </w:docPartObj>
    </w:sdtPr>
    <w:sdtEndPr/>
    <w:sdtContent>
      <w:p w:rsidR="00D36CDD" w:rsidRDefault="00D36CDD">
        <w:pPr>
          <w:pStyle w:val="a4"/>
          <w:jc w:val="center"/>
        </w:pPr>
        <w:r>
          <w:fldChar w:fldCharType="begin"/>
        </w:r>
        <w:r>
          <w:instrText>PAGE   \* MERGEFORMAT</w:instrText>
        </w:r>
        <w:r>
          <w:fldChar w:fldCharType="separate"/>
        </w:r>
        <w:r w:rsidR="00532F0F">
          <w:rPr>
            <w:noProof/>
          </w:rPr>
          <w:t>6</w:t>
        </w:r>
        <w:r>
          <w:fldChar w:fldCharType="end"/>
        </w:r>
      </w:p>
    </w:sdtContent>
  </w:sdt>
  <w:p w:rsidR="00D36CDD" w:rsidRDefault="00D36CD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3269F"/>
    <w:multiLevelType w:val="multilevel"/>
    <w:tmpl w:val="A8AA0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4F68A5"/>
    <w:multiLevelType w:val="multilevel"/>
    <w:tmpl w:val="A89839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6521CD"/>
    <w:multiLevelType w:val="multilevel"/>
    <w:tmpl w:val="FFA26F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4A5597"/>
    <w:multiLevelType w:val="multilevel"/>
    <w:tmpl w:val="A190C4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4E1055"/>
    <w:multiLevelType w:val="multilevel"/>
    <w:tmpl w:val="F1BAF6AC"/>
    <w:lvl w:ilvl="0">
      <w:start w:val="13"/>
      <w:numFmt w:val="decimal"/>
      <w:lvlText w:val="%1."/>
      <w:lvlJc w:val="left"/>
      <w:pPr>
        <w:ind w:left="1084" w:hanging="375"/>
      </w:pPr>
      <w:rPr>
        <w:rFonts w:hint="default"/>
        <w:b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36A05DB3"/>
    <w:multiLevelType w:val="multilevel"/>
    <w:tmpl w:val="590C83EC"/>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BF23C07"/>
    <w:multiLevelType w:val="multilevel"/>
    <w:tmpl w:val="4E962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9B42E3"/>
    <w:multiLevelType w:val="multilevel"/>
    <w:tmpl w:val="A2482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B6503B"/>
    <w:multiLevelType w:val="multilevel"/>
    <w:tmpl w:val="0ECE7226"/>
    <w:lvl w:ilvl="0">
      <w:start w:val="1"/>
      <w:numFmt w:val="decimal"/>
      <w:lvlText w:val="%1."/>
      <w:lvlJc w:val="left"/>
      <w:pPr>
        <w:ind w:left="1069" w:hanging="360"/>
      </w:pPr>
      <w:rPr>
        <w:rFonts w:ascii="Times New Roman" w:eastAsiaTheme="minorHAnsi"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5B951DA6"/>
    <w:multiLevelType w:val="multilevel"/>
    <w:tmpl w:val="4AFCF8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0F7A28"/>
    <w:multiLevelType w:val="multilevel"/>
    <w:tmpl w:val="5AD64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37556C"/>
    <w:multiLevelType w:val="multilevel"/>
    <w:tmpl w:val="AFF49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E30177"/>
    <w:multiLevelType w:val="hybridMultilevel"/>
    <w:tmpl w:val="F0245648"/>
    <w:lvl w:ilvl="0" w:tplc="0A6662F0">
      <w:start w:val="1"/>
      <w:numFmt w:val="upperRoman"/>
      <w:lvlText w:val="%1."/>
      <w:lvlJc w:val="left"/>
      <w:pPr>
        <w:ind w:left="1997" w:hanging="72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60916E73"/>
    <w:multiLevelType w:val="multilevel"/>
    <w:tmpl w:val="1A4AC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8"/>
  </w:num>
  <w:num w:numId="3">
    <w:abstractNumId w:val="4"/>
  </w:num>
  <w:num w:numId="4">
    <w:abstractNumId w:val="5"/>
  </w:num>
  <w:num w:numId="5">
    <w:abstractNumId w:val="13"/>
  </w:num>
  <w:num w:numId="6">
    <w:abstractNumId w:val="1"/>
    <w:lvlOverride w:ilvl="0">
      <w:lvl w:ilvl="0">
        <w:numFmt w:val="decimal"/>
        <w:lvlText w:val="%1."/>
        <w:lvlJc w:val="left"/>
      </w:lvl>
    </w:lvlOverride>
  </w:num>
  <w:num w:numId="7">
    <w:abstractNumId w:val="11"/>
  </w:num>
  <w:num w:numId="8">
    <w:abstractNumId w:val="7"/>
  </w:num>
  <w:num w:numId="9">
    <w:abstractNumId w:val="2"/>
    <w:lvlOverride w:ilvl="0">
      <w:lvl w:ilvl="0">
        <w:numFmt w:val="decimal"/>
        <w:lvlText w:val="%1."/>
        <w:lvlJc w:val="left"/>
      </w:lvl>
    </w:lvlOverride>
  </w:num>
  <w:num w:numId="10">
    <w:abstractNumId w:val="10"/>
  </w:num>
  <w:num w:numId="11">
    <w:abstractNumId w:val="3"/>
    <w:lvlOverride w:ilvl="0">
      <w:lvl w:ilvl="0">
        <w:numFmt w:val="decimal"/>
        <w:lvlText w:val="%1."/>
        <w:lvlJc w:val="left"/>
      </w:lvl>
    </w:lvlOverride>
  </w:num>
  <w:num w:numId="12">
    <w:abstractNumId w:val="0"/>
  </w:num>
  <w:num w:numId="13">
    <w:abstractNumId w:val="6"/>
  </w:num>
  <w:num w:numId="14">
    <w:abstractNumId w:val="9"/>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39E"/>
    <w:rsid w:val="000B4CFB"/>
    <w:rsid w:val="000C0E29"/>
    <w:rsid w:val="000C4E63"/>
    <w:rsid w:val="000F0C4D"/>
    <w:rsid w:val="000F5B25"/>
    <w:rsid w:val="00103A00"/>
    <w:rsid w:val="00133DBE"/>
    <w:rsid w:val="0015312E"/>
    <w:rsid w:val="00165813"/>
    <w:rsid w:val="0017426A"/>
    <w:rsid w:val="0018528C"/>
    <w:rsid w:val="001916CC"/>
    <w:rsid w:val="0019471C"/>
    <w:rsid w:val="001A2602"/>
    <w:rsid w:val="001A7154"/>
    <w:rsid w:val="001F658D"/>
    <w:rsid w:val="00224C78"/>
    <w:rsid w:val="00250E30"/>
    <w:rsid w:val="00293750"/>
    <w:rsid w:val="002B27D4"/>
    <w:rsid w:val="002C3D13"/>
    <w:rsid w:val="002C6CFD"/>
    <w:rsid w:val="002E418F"/>
    <w:rsid w:val="002E65C2"/>
    <w:rsid w:val="0030250E"/>
    <w:rsid w:val="0030484F"/>
    <w:rsid w:val="003514F0"/>
    <w:rsid w:val="00370D38"/>
    <w:rsid w:val="00395FE7"/>
    <w:rsid w:val="003970D9"/>
    <w:rsid w:val="003B6851"/>
    <w:rsid w:val="003D1B0C"/>
    <w:rsid w:val="003E14E7"/>
    <w:rsid w:val="00404038"/>
    <w:rsid w:val="0042328F"/>
    <w:rsid w:val="00476299"/>
    <w:rsid w:val="00480AB3"/>
    <w:rsid w:val="0049749B"/>
    <w:rsid w:val="004F2B85"/>
    <w:rsid w:val="00502328"/>
    <w:rsid w:val="00531C21"/>
    <w:rsid w:val="00532F0F"/>
    <w:rsid w:val="00540CE4"/>
    <w:rsid w:val="00541DCF"/>
    <w:rsid w:val="00545290"/>
    <w:rsid w:val="0057356A"/>
    <w:rsid w:val="00593E34"/>
    <w:rsid w:val="005A17C7"/>
    <w:rsid w:val="005C6899"/>
    <w:rsid w:val="005F6C03"/>
    <w:rsid w:val="0064467E"/>
    <w:rsid w:val="006B5894"/>
    <w:rsid w:val="006B63CE"/>
    <w:rsid w:val="00727B81"/>
    <w:rsid w:val="00736FE4"/>
    <w:rsid w:val="007378CE"/>
    <w:rsid w:val="0079174C"/>
    <w:rsid w:val="00797140"/>
    <w:rsid w:val="007C43CC"/>
    <w:rsid w:val="007E03E8"/>
    <w:rsid w:val="00825A33"/>
    <w:rsid w:val="008572DD"/>
    <w:rsid w:val="008628AC"/>
    <w:rsid w:val="00896216"/>
    <w:rsid w:val="008D5DF0"/>
    <w:rsid w:val="008E38E8"/>
    <w:rsid w:val="008F39B3"/>
    <w:rsid w:val="00941298"/>
    <w:rsid w:val="00971228"/>
    <w:rsid w:val="009B4EC9"/>
    <w:rsid w:val="009D3749"/>
    <w:rsid w:val="009D41EA"/>
    <w:rsid w:val="009D5865"/>
    <w:rsid w:val="009E1C51"/>
    <w:rsid w:val="009F263D"/>
    <w:rsid w:val="009F50D3"/>
    <w:rsid w:val="00A172A0"/>
    <w:rsid w:val="00A2139E"/>
    <w:rsid w:val="00A43D2C"/>
    <w:rsid w:val="00A474C2"/>
    <w:rsid w:val="00A620DA"/>
    <w:rsid w:val="00A67970"/>
    <w:rsid w:val="00A75DE2"/>
    <w:rsid w:val="00A76208"/>
    <w:rsid w:val="00AF03C7"/>
    <w:rsid w:val="00B20F38"/>
    <w:rsid w:val="00B41714"/>
    <w:rsid w:val="00BC0D91"/>
    <w:rsid w:val="00BC10D1"/>
    <w:rsid w:val="00BC58FE"/>
    <w:rsid w:val="00BC783E"/>
    <w:rsid w:val="00BF007B"/>
    <w:rsid w:val="00C11769"/>
    <w:rsid w:val="00C23786"/>
    <w:rsid w:val="00C464D4"/>
    <w:rsid w:val="00C5183A"/>
    <w:rsid w:val="00C67966"/>
    <w:rsid w:val="00CC5C12"/>
    <w:rsid w:val="00D171AF"/>
    <w:rsid w:val="00D36CDD"/>
    <w:rsid w:val="00D7119E"/>
    <w:rsid w:val="00D83AF9"/>
    <w:rsid w:val="00D9041B"/>
    <w:rsid w:val="00DA0E1A"/>
    <w:rsid w:val="00DD3DCD"/>
    <w:rsid w:val="00E10AC2"/>
    <w:rsid w:val="00E43026"/>
    <w:rsid w:val="00E55F7D"/>
    <w:rsid w:val="00E74A64"/>
    <w:rsid w:val="00E77C59"/>
    <w:rsid w:val="00E80CED"/>
    <w:rsid w:val="00E851A3"/>
    <w:rsid w:val="00EA7B0F"/>
    <w:rsid w:val="00EB55A8"/>
    <w:rsid w:val="00ED169C"/>
    <w:rsid w:val="00F41E5C"/>
    <w:rsid w:val="00F5360D"/>
    <w:rsid w:val="00F56D29"/>
    <w:rsid w:val="00F61323"/>
    <w:rsid w:val="00F77203"/>
    <w:rsid w:val="00F92FA7"/>
    <w:rsid w:val="00FA01AE"/>
    <w:rsid w:val="00FB1F5C"/>
    <w:rsid w:val="00FE59FD"/>
    <w:rsid w:val="00FF1F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45505"/>
  <w15:chartTrackingRefBased/>
  <w15:docId w15:val="{D864A709-755B-4EBB-9C1D-D83EF9D0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10D1"/>
    <w:pPr>
      <w:ind w:left="720"/>
      <w:contextualSpacing/>
    </w:pPr>
  </w:style>
  <w:style w:type="paragraph" w:styleId="a4">
    <w:name w:val="header"/>
    <w:basedOn w:val="a"/>
    <w:link w:val="a5"/>
    <w:uiPriority w:val="99"/>
    <w:unhideWhenUsed/>
    <w:rsid w:val="00B41714"/>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B41714"/>
  </w:style>
  <w:style w:type="paragraph" w:styleId="a6">
    <w:name w:val="footer"/>
    <w:basedOn w:val="a"/>
    <w:link w:val="a7"/>
    <w:uiPriority w:val="99"/>
    <w:unhideWhenUsed/>
    <w:rsid w:val="00B41714"/>
    <w:pPr>
      <w:tabs>
        <w:tab w:val="center" w:pos="4819"/>
        <w:tab w:val="right" w:pos="9639"/>
      </w:tabs>
      <w:spacing w:after="0" w:line="240" w:lineRule="auto"/>
    </w:pPr>
  </w:style>
  <w:style w:type="character" w:customStyle="1" w:styleId="a7">
    <w:name w:val="Нижній колонтитул Знак"/>
    <w:basedOn w:val="a0"/>
    <w:link w:val="a6"/>
    <w:uiPriority w:val="99"/>
    <w:rsid w:val="00B41714"/>
  </w:style>
  <w:style w:type="table" w:styleId="a8">
    <w:name w:val="Table Grid"/>
    <w:basedOn w:val="a1"/>
    <w:uiPriority w:val="39"/>
    <w:rsid w:val="006B6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50232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a">
    <w:name w:val="Hyperlink"/>
    <w:basedOn w:val="a0"/>
    <w:uiPriority w:val="99"/>
    <w:unhideWhenUsed/>
    <w:rsid w:val="00502328"/>
    <w:rPr>
      <w:color w:val="0000FF"/>
      <w:u w:val="single"/>
    </w:rPr>
  </w:style>
  <w:style w:type="paragraph" w:styleId="ab">
    <w:name w:val="Balloon Text"/>
    <w:basedOn w:val="a"/>
    <w:link w:val="ac"/>
    <w:uiPriority w:val="99"/>
    <w:semiHidden/>
    <w:unhideWhenUsed/>
    <w:rsid w:val="00B20F38"/>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B20F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576559">
      <w:bodyDiv w:val="1"/>
      <w:marLeft w:val="0"/>
      <w:marRight w:val="0"/>
      <w:marTop w:val="0"/>
      <w:marBottom w:val="0"/>
      <w:divBdr>
        <w:top w:val="none" w:sz="0" w:space="0" w:color="auto"/>
        <w:left w:val="none" w:sz="0" w:space="0" w:color="auto"/>
        <w:bottom w:val="none" w:sz="0" w:space="0" w:color="auto"/>
        <w:right w:val="none" w:sz="0" w:space="0" w:color="auto"/>
      </w:divBdr>
    </w:div>
    <w:div w:id="819151748">
      <w:bodyDiv w:val="1"/>
      <w:marLeft w:val="0"/>
      <w:marRight w:val="0"/>
      <w:marTop w:val="0"/>
      <w:marBottom w:val="0"/>
      <w:divBdr>
        <w:top w:val="none" w:sz="0" w:space="0" w:color="auto"/>
        <w:left w:val="none" w:sz="0" w:space="0" w:color="auto"/>
        <w:bottom w:val="none" w:sz="0" w:space="0" w:color="auto"/>
        <w:right w:val="none" w:sz="0" w:space="0" w:color="auto"/>
      </w:divBdr>
    </w:div>
    <w:div w:id="175539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9398</Words>
  <Characters>5358</Characters>
  <Application>Microsoft Office Word</Application>
  <DocSecurity>0</DocSecurity>
  <Lines>44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Савичук Олег Олександрович</dc:creator>
  <cp:keywords/>
  <dc:description/>
  <cp:lastModifiedBy>Василенко Наталія Іванівна</cp:lastModifiedBy>
  <cp:revision>2</cp:revision>
  <cp:lastPrinted>2026-10-19T07:08:00Z</cp:lastPrinted>
  <dcterms:created xsi:type="dcterms:W3CDTF">2026-10-28T11:29:00Z</dcterms:created>
  <dcterms:modified xsi:type="dcterms:W3CDTF">2026-10-28T11:29:00Z</dcterms:modified>
</cp:coreProperties>
</file>